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ED4" w:rsidRPr="0084670F" w:rsidRDefault="00A43ED4" w:rsidP="00183034">
      <w:pPr>
        <w:spacing w:after="0"/>
        <w:rPr>
          <w:b/>
          <w:sz w:val="28"/>
          <w:szCs w:val="28"/>
        </w:rPr>
      </w:pPr>
      <w:bookmarkStart w:id="0" w:name="_GoBack"/>
      <w:bookmarkEnd w:id="0"/>
      <w:r w:rsidRPr="0084670F">
        <w:rPr>
          <w:b/>
          <w:sz w:val="28"/>
          <w:szCs w:val="28"/>
        </w:rPr>
        <w:t>Session overview</w:t>
      </w:r>
    </w:p>
    <w:p w:rsidR="00183034" w:rsidRDefault="00183034" w:rsidP="00183034">
      <w:pPr>
        <w:pStyle w:val="ListParagraph"/>
        <w:numPr>
          <w:ilvl w:val="0"/>
          <w:numId w:val="2"/>
        </w:numPr>
        <w:spacing w:after="0"/>
      </w:pPr>
      <w:r>
        <w:t>Part I: Setting</w:t>
      </w:r>
      <w:r w:rsidR="0084670F">
        <w:t xml:space="preserve"> a Foundation</w:t>
      </w:r>
      <w:r w:rsidR="00845D46">
        <w:t xml:space="preserve"> (20’)</w:t>
      </w:r>
    </w:p>
    <w:p w:rsidR="00183034" w:rsidRDefault="00183034" w:rsidP="00183034">
      <w:pPr>
        <w:pStyle w:val="ListParagraph"/>
        <w:numPr>
          <w:ilvl w:val="0"/>
          <w:numId w:val="2"/>
        </w:numPr>
        <w:spacing w:after="0"/>
      </w:pPr>
      <w:r>
        <w:t xml:space="preserve">Part II: Hearing from </w:t>
      </w:r>
      <w:r w:rsidR="0084670F">
        <w:t>C</w:t>
      </w:r>
      <w:r>
        <w:t xml:space="preserve">ollege </w:t>
      </w:r>
      <w:r w:rsidR="0084670F">
        <w:t>I</w:t>
      </w:r>
      <w:r>
        <w:t xml:space="preserve">nstructors across the </w:t>
      </w:r>
      <w:r w:rsidR="0084670F">
        <w:t>D</w:t>
      </w:r>
      <w:r>
        <w:t>isciplines</w:t>
      </w:r>
      <w:r w:rsidR="00845D46">
        <w:t xml:space="preserve"> (50’ + 15’ response)</w:t>
      </w:r>
    </w:p>
    <w:p w:rsidR="00183034" w:rsidRDefault="00183034" w:rsidP="00183034">
      <w:pPr>
        <w:pStyle w:val="ListParagraph"/>
        <w:numPr>
          <w:ilvl w:val="0"/>
          <w:numId w:val="2"/>
        </w:numPr>
        <w:spacing w:after="0"/>
      </w:pPr>
      <w:r>
        <w:t>Part III: Exploring Ways to Bridge the Gap</w:t>
      </w:r>
      <w:r w:rsidR="00845D46">
        <w:t xml:space="preserve"> (25’)</w:t>
      </w:r>
    </w:p>
    <w:p w:rsidR="00183034" w:rsidRDefault="00183034" w:rsidP="00183034">
      <w:pPr>
        <w:pStyle w:val="ListParagraph"/>
        <w:numPr>
          <w:ilvl w:val="0"/>
          <w:numId w:val="2"/>
        </w:numPr>
        <w:spacing w:after="0"/>
      </w:pPr>
      <w:r>
        <w:t>Part IV: Collecting Ideas about a Specific Gap: Literacy around Research</w:t>
      </w:r>
      <w:r w:rsidR="00845D46">
        <w:t xml:space="preserve"> (30’)</w:t>
      </w:r>
    </w:p>
    <w:p w:rsidR="00183034" w:rsidRDefault="00183034" w:rsidP="00183034">
      <w:pPr>
        <w:spacing w:after="0"/>
      </w:pPr>
    </w:p>
    <w:p w:rsidR="00183034" w:rsidRPr="0084670F" w:rsidRDefault="0084670F" w:rsidP="0018303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Part I</w:t>
      </w:r>
      <w:r w:rsidR="00183034" w:rsidRPr="0084670F">
        <w:rPr>
          <w:b/>
          <w:sz w:val="28"/>
          <w:szCs w:val="28"/>
        </w:rPr>
        <w:t>: Foundation Building Question Guide</w:t>
      </w:r>
    </w:p>
    <w:p w:rsidR="00A76229" w:rsidRDefault="009075E8" w:rsidP="00183034">
      <w:pPr>
        <w:numPr>
          <w:ilvl w:val="0"/>
          <w:numId w:val="1"/>
        </w:numPr>
        <w:spacing w:after="0"/>
      </w:pPr>
      <w:r w:rsidRPr="00183034">
        <w:t xml:space="preserve">What SKILLS do you currently teach </w:t>
      </w:r>
      <w:r w:rsidR="00BD6B01">
        <w:t>that</w:t>
      </w:r>
      <w:r w:rsidRPr="00183034">
        <w:t xml:space="preserve"> you believe contribute most to your students’ ability to read and write at the college level?</w:t>
      </w:r>
    </w:p>
    <w:p w:rsidR="00183034" w:rsidRDefault="00183034" w:rsidP="00183034">
      <w:pPr>
        <w:spacing w:after="0"/>
      </w:pPr>
    </w:p>
    <w:p w:rsidR="00845D46" w:rsidRDefault="00845D46" w:rsidP="00183034">
      <w:pPr>
        <w:spacing w:after="0"/>
      </w:pPr>
    </w:p>
    <w:p w:rsidR="00183034" w:rsidRDefault="00183034" w:rsidP="00183034">
      <w:pPr>
        <w:spacing w:after="0"/>
      </w:pPr>
    </w:p>
    <w:p w:rsidR="00183034" w:rsidRDefault="00183034" w:rsidP="00183034">
      <w:pPr>
        <w:spacing w:after="0"/>
      </w:pPr>
    </w:p>
    <w:p w:rsidR="00183034" w:rsidRPr="00183034" w:rsidRDefault="00183034" w:rsidP="00183034">
      <w:pPr>
        <w:spacing w:after="0"/>
      </w:pPr>
    </w:p>
    <w:p w:rsidR="00A76229" w:rsidRDefault="009075E8" w:rsidP="00183034">
      <w:pPr>
        <w:numPr>
          <w:ilvl w:val="0"/>
          <w:numId w:val="1"/>
        </w:numPr>
        <w:spacing w:after="0"/>
      </w:pPr>
      <w:r w:rsidRPr="00183034">
        <w:t>What HABITS OF MIND do you currently develop that you believe contribute most to your students’ ability to read and write at the college level?</w:t>
      </w:r>
    </w:p>
    <w:p w:rsidR="00183034" w:rsidRDefault="00183034" w:rsidP="00183034">
      <w:pPr>
        <w:spacing w:after="0"/>
      </w:pPr>
    </w:p>
    <w:p w:rsidR="00183034" w:rsidRDefault="00183034" w:rsidP="00183034">
      <w:pPr>
        <w:spacing w:after="0"/>
      </w:pPr>
    </w:p>
    <w:p w:rsidR="00183034" w:rsidRDefault="00183034" w:rsidP="00183034">
      <w:pPr>
        <w:spacing w:after="0"/>
      </w:pPr>
    </w:p>
    <w:p w:rsidR="00845D46" w:rsidRDefault="00845D46" w:rsidP="00183034">
      <w:pPr>
        <w:spacing w:after="0"/>
      </w:pPr>
    </w:p>
    <w:p w:rsidR="00183034" w:rsidRPr="00183034" w:rsidRDefault="00183034" w:rsidP="00183034">
      <w:pPr>
        <w:spacing w:after="0"/>
      </w:pPr>
    </w:p>
    <w:p w:rsidR="00A76229" w:rsidRDefault="009075E8" w:rsidP="00183034">
      <w:pPr>
        <w:numPr>
          <w:ilvl w:val="0"/>
          <w:numId w:val="1"/>
        </w:numPr>
        <w:spacing w:after="0"/>
      </w:pPr>
      <w:r w:rsidRPr="00183034">
        <w:t>What NON-CLASS OPPORTUNITIES do you provide for students to develop identities that may contribute to their reading/writing success at college?</w:t>
      </w:r>
    </w:p>
    <w:p w:rsidR="00183034" w:rsidRDefault="00183034" w:rsidP="00183034">
      <w:pPr>
        <w:spacing w:after="0"/>
      </w:pPr>
    </w:p>
    <w:p w:rsidR="00183034" w:rsidRDefault="00183034" w:rsidP="00183034">
      <w:pPr>
        <w:spacing w:after="0"/>
      </w:pPr>
    </w:p>
    <w:p w:rsidR="00845D46" w:rsidRDefault="00845D46" w:rsidP="00183034">
      <w:pPr>
        <w:spacing w:after="0"/>
      </w:pPr>
    </w:p>
    <w:p w:rsidR="00183034" w:rsidRDefault="00183034" w:rsidP="00183034">
      <w:pPr>
        <w:spacing w:after="0"/>
      </w:pPr>
    </w:p>
    <w:p w:rsidR="00183034" w:rsidRPr="00183034" w:rsidRDefault="00183034" w:rsidP="00183034">
      <w:pPr>
        <w:spacing w:after="0"/>
      </w:pPr>
    </w:p>
    <w:p w:rsidR="00A76229" w:rsidRPr="00183034" w:rsidRDefault="009075E8" w:rsidP="00183034">
      <w:pPr>
        <w:numPr>
          <w:ilvl w:val="0"/>
          <w:numId w:val="1"/>
        </w:numPr>
        <w:spacing w:after="0"/>
      </w:pPr>
      <w:r w:rsidRPr="00183034">
        <w:t xml:space="preserve">What SKILLS or HABITS OF MIND do you think that college instructors feel are </w:t>
      </w:r>
      <w:r w:rsidRPr="00183034">
        <w:rPr>
          <w:i/>
          <w:iCs/>
        </w:rPr>
        <w:t xml:space="preserve">least developed </w:t>
      </w:r>
      <w:r w:rsidRPr="00183034">
        <w:t>among their incoming students?</w:t>
      </w:r>
    </w:p>
    <w:p w:rsidR="00183034" w:rsidRDefault="00183034" w:rsidP="00183034">
      <w:pPr>
        <w:spacing w:after="0"/>
      </w:pPr>
    </w:p>
    <w:p w:rsidR="00183034" w:rsidRDefault="00183034" w:rsidP="00183034">
      <w:pPr>
        <w:spacing w:after="0"/>
        <w:ind w:left="720"/>
      </w:pPr>
    </w:p>
    <w:p w:rsidR="00183034" w:rsidRDefault="00183034" w:rsidP="00183034">
      <w:pPr>
        <w:spacing w:after="0"/>
      </w:pPr>
    </w:p>
    <w:p w:rsidR="0084670F" w:rsidRDefault="0084670F" w:rsidP="00183034">
      <w:pPr>
        <w:spacing w:after="0"/>
      </w:pPr>
    </w:p>
    <w:p w:rsidR="00845D46" w:rsidRDefault="00845D46" w:rsidP="00183034">
      <w:pPr>
        <w:spacing w:after="0"/>
        <w:rPr>
          <w:b/>
        </w:rPr>
      </w:pPr>
    </w:p>
    <w:p w:rsidR="00845D46" w:rsidRDefault="00845D46" w:rsidP="00183034">
      <w:pPr>
        <w:spacing w:after="0"/>
        <w:rPr>
          <w:b/>
        </w:rPr>
      </w:pPr>
    </w:p>
    <w:p w:rsidR="00C6024A" w:rsidRDefault="00C6024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45D46" w:rsidRPr="00845D46" w:rsidRDefault="00845D46" w:rsidP="00183034">
      <w:pPr>
        <w:spacing w:after="0"/>
        <w:rPr>
          <w:b/>
          <w:sz w:val="28"/>
          <w:szCs w:val="28"/>
        </w:rPr>
      </w:pPr>
      <w:r w:rsidRPr="00845D46">
        <w:rPr>
          <w:b/>
          <w:sz w:val="28"/>
          <w:szCs w:val="28"/>
        </w:rPr>
        <w:lastRenderedPageBreak/>
        <w:t>Part I Table Discussions.</w:t>
      </w:r>
    </w:p>
    <w:p w:rsidR="00845D46" w:rsidRPr="00845D46" w:rsidRDefault="00183034" w:rsidP="00183034">
      <w:pPr>
        <w:spacing w:after="0"/>
        <w:rPr>
          <w:b/>
        </w:rPr>
      </w:pPr>
      <w:r>
        <w:t xml:space="preserve">At your tables, discuss your individual answers.  Where do you see </w:t>
      </w:r>
      <w:r>
        <w:rPr>
          <w:i/>
        </w:rPr>
        <w:t>overlap</w:t>
      </w:r>
      <w:r>
        <w:t xml:space="preserve">?  Where do you see points of </w:t>
      </w:r>
      <w:r>
        <w:rPr>
          <w:i/>
        </w:rPr>
        <w:t>diversion</w:t>
      </w:r>
      <w:r>
        <w:t xml:space="preserve">? </w:t>
      </w:r>
      <w:r w:rsidR="00845D46">
        <w:t xml:space="preserve"> </w:t>
      </w:r>
      <w:r w:rsidR="00845D46">
        <w:rPr>
          <w:i/>
        </w:rPr>
        <w:t xml:space="preserve">Successes?  </w:t>
      </w:r>
      <w:r w:rsidR="00761361">
        <w:rPr>
          <w:i/>
        </w:rPr>
        <w:t>Points of confusion?</w:t>
      </w:r>
    </w:p>
    <w:p w:rsidR="00845D46" w:rsidRDefault="00845D46" w:rsidP="00183034">
      <w:pPr>
        <w:spacing w:after="0"/>
      </w:pPr>
    </w:p>
    <w:p w:rsidR="00845D46" w:rsidRDefault="00845D46" w:rsidP="00183034">
      <w:pPr>
        <w:spacing w:after="0"/>
      </w:pPr>
    </w:p>
    <w:p w:rsidR="00845D46" w:rsidRDefault="00845D46" w:rsidP="00183034">
      <w:pPr>
        <w:spacing w:after="0"/>
      </w:pPr>
    </w:p>
    <w:p w:rsidR="00845D46" w:rsidRDefault="00845D46" w:rsidP="00183034">
      <w:pPr>
        <w:spacing w:after="0"/>
      </w:pPr>
    </w:p>
    <w:p w:rsidR="00845D46" w:rsidRDefault="00845D46" w:rsidP="00183034">
      <w:pPr>
        <w:spacing w:after="0"/>
      </w:pPr>
    </w:p>
    <w:p w:rsidR="00761361" w:rsidRDefault="00761361" w:rsidP="00183034">
      <w:pPr>
        <w:spacing w:after="0"/>
      </w:pPr>
    </w:p>
    <w:p w:rsidR="00183034" w:rsidRDefault="00845D46" w:rsidP="00183034">
      <w:pPr>
        <w:spacing w:after="0"/>
      </w:pPr>
      <w:r>
        <w:t xml:space="preserve">Also, what do you </w:t>
      </w:r>
      <w:r>
        <w:rPr>
          <w:i/>
        </w:rPr>
        <w:t xml:space="preserve">predict </w:t>
      </w:r>
      <w:r>
        <w:t>the guest panelists might say about their perceptions of students’ reading/writing preparedness</w:t>
      </w:r>
      <w:r>
        <w:rPr>
          <w:i/>
        </w:rPr>
        <w:t xml:space="preserve">?  </w:t>
      </w:r>
      <w:r w:rsidR="00183034">
        <w:t xml:space="preserve">From this discussion, what are some </w:t>
      </w:r>
      <w:r w:rsidR="00183034" w:rsidRPr="0084670F">
        <w:rPr>
          <w:i/>
        </w:rPr>
        <w:t>questions you might want to ask of the guest panelists</w:t>
      </w:r>
      <w:r w:rsidR="00183034">
        <w:t>?</w:t>
      </w:r>
    </w:p>
    <w:p w:rsidR="00183034" w:rsidRPr="00183034" w:rsidRDefault="00183034" w:rsidP="00183034">
      <w:pPr>
        <w:spacing w:after="0"/>
      </w:pPr>
    </w:p>
    <w:p w:rsidR="00845D46" w:rsidRDefault="00845D46" w:rsidP="00845D46">
      <w:pPr>
        <w:rPr>
          <w:b/>
          <w:sz w:val="28"/>
          <w:szCs w:val="28"/>
        </w:rPr>
      </w:pPr>
    </w:p>
    <w:p w:rsidR="00845D46" w:rsidRDefault="00845D46" w:rsidP="00845D46">
      <w:pPr>
        <w:rPr>
          <w:b/>
          <w:sz w:val="28"/>
          <w:szCs w:val="28"/>
        </w:rPr>
      </w:pPr>
    </w:p>
    <w:p w:rsidR="00845D46" w:rsidRDefault="00845D46" w:rsidP="00845D46">
      <w:pPr>
        <w:rPr>
          <w:b/>
          <w:sz w:val="28"/>
          <w:szCs w:val="28"/>
        </w:rPr>
      </w:pPr>
    </w:p>
    <w:p w:rsidR="0084670F" w:rsidRDefault="0084670F" w:rsidP="00C6024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Part II.  Notes on guest p</w:t>
      </w:r>
      <w:r w:rsidRPr="0084670F">
        <w:rPr>
          <w:b/>
          <w:sz w:val="28"/>
          <w:szCs w:val="28"/>
        </w:rPr>
        <w:t>anel</w:t>
      </w:r>
    </w:p>
    <w:p w:rsidR="00C6024A" w:rsidRDefault="00C6024A" w:rsidP="00C6024A">
      <w:pPr>
        <w:pStyle w:val="ListParagraph"/>
        <w:numPr>
          <w:ilvl w:val="0"/>
          <w:numId w:val="2"/>
        </w:numPr>
        <w:spacing w:after="0"/>
      </w:pPr>
      <w:r>
        <w:t>Steve Barrett, College of Engineering</w:t>
      </w:r>
    </w:p>
    <w:p w:rsidR="00C6024A" w:rsidRDefault="00C6024A" w:rsidP="00C6024A">
      <w:pPr>
        <w:pStyle w:val="ListParagraph"/>
        <w:numPr>
          <w:ilvl w:val="0"/>
          <w:numId w:val="2"/>
        </w:numPr>
        <w:spacing w:after="0"/>
      </w:pPr>
      <w:r>
        <w:t>Brianna Wright, Life Sciences</w:t>
      </w:r>
    </w:p>
    <w:p w:rsidR="00C6024A" w:rsidRDefault="00C6024A" w:rsidP="00C6024A">
      <w:pPr>
        <w:pStyle w:val="ListParagraph"/>
        <w:numPr>
          <w:ilvl w:val="0"/>
          <w:numId w:val="2"/>
        </w:numPr>
        <w:spacing w:after="0"/>
      </w:pPr>
      <w:r>
        <w:t>Joyce Stewart, First-Year Composition</w:t>
      </w:r>
    </w:p>
    <w:p w:rsidR="00C6024A" w:rsidRDefault="00C6024A" w:rsidP="00C6024A">
      <w:pPr>
        <w:pStyle w:val="ListParagraph"/>
        <w:numPr>
          <w:ilvl w:val="0"/>
          <w:numId w:val="2"/>
        </w:numPr>
        <w:spacing w:after="0"/>
      </w:pPr>
      <w:r>
        <w:t>Scott Freng/Sean McCrea, Psychology</w:t>
      </w:r>
    </w:p>
    <w:p w:rsidR="00C6024A" w:rsidRDefault="00C6024A" w:rsidP="00C6024A">
      <w:pPr>
        <w:pStyle w:val="ListParagraph"/>
        <w:numPr>
          <w:ilvl w:val="0"/>
          <w:numId w:val="2"/>
        </w:numPr>
        <w:spacing w:after="0"/>
      </w:pPr>
      <w:r>
        <w:t>Melissa Bowles-Terry, Honors Program/Library instruction</w:t>
      </w:r>
    </w:p>
    <w:p w:rsidR="00C6024A" w:rsidRDefault="00C6024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4670F" w:rsidRDefault="00C6024A" w:rsidP="0018303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</w:t>
      </w:r>
      <w:r w:rsidR="0084670F">
        <w:rPr>
          <w:b/>
          <w:sz w:val="28"/>
          <w:szCs w:val="28"/>
        </w:rPr>
        <w:t xml:space="preserve">art II.  </w:t>
      </w:r>
      <w:r w:rsidR="00845D46">
        <w:rPr>
          <w:b/>
          <w:sz w:val="28"/>
          <w:szCs w:val="28"/>
        </w:rPr>
        <w:t>Table discussions after the panelists speak</w:t>
      </w:r>
    </w:p>
    <w:p w:rsidR="00C93D80" w:rsidRPr="00845D46" w:rsidRDefault="007F5D44" w:rsidP="00845D46">
      <w:pPr>
        <w:spacing w:after="0"/>
      </w:pPr>
      <w:r w:rsidRPr="00845D46">
        <w:t>What matched your expectations?</w:t>
      </w:r>
    </w:p>
    <w:p w:rsidR="00845D46" w:rsidRDefault="00845D46" w:rsidP="00845D46">
      <w:pPr>
        <w:spacing w:after="0"/>
      </w:pPr>
    </w:p>
    <w:p w:rsidR="00845D46" w:rsidRDefault="00845D46" w:rsidP="00845D46">
      <w:pPr>
        <w:spacing w:after="0"/>
      </w:pPr>
    </w:p>
    <w:p w:rsidR="00845D46" w:rsidRDefault="00845D46" w:rsidP="00845D46">
      <w:pPr>
        <w:spacing w:after="0"/>
      </w:pPr>
    </w:p>
    <w:p w:rsidR="00761361" w:rsidRDefault="00761361" w:rsidP="00845D46">
      <w:pPr>
        <w:spacing w:after="0"/>
      </w:pPr>
    </w:p>
    <w:p w:rsidR="00845D46" w:rsidRDefault="00845D46" w:rsidP="00845D46">
      <w:pPr>
        <w:spacing w:after="0"/>
      </w:pPr>
    </w:p>
    <w:p w:rsidR="00845D46" w:rsidRDefault="00845D46" w:rsidP="00845D46">
      <w:pPr>
        <w:spacing w:after="0"/>
      </w:pPr>
    </w:p>
    <w:p w:rsidR="00C93D80" w:rsidRPr="00845D46" w:rsidRDefault="007F5D44" w:rsidP="00845D46">
      <w:pPr>
        <w:spacing w:after="0"/>
      </w:pPr>
      <w:r w:rsidRPr="00845D46">
        <w:t>What did you hear that surprised you?</w:t>
      </w:r>
    </w:p>
    <w:p w:rsidR="00845D46" w:rsidRDefault="00845D46" w:rsidP="00845D46">
      <w:pPr>
        <w:spacing w:after="0"/>
      </w:pPr>
    </w:p>
    <w:p w:rsidR="00845D46" w:rsidRDefault="00845D46" w:rsidP="00845D46">
      <w:pPr>
        <w:spacing w:after="0"/>
      </w:pPr>
    </w:p>
    <w:p w:rsidR="00845D46" w:rsidRDefault="00845D46" w:rsidP="00845D46">
      <w:pPr>
        <w:spacing w:after="0"/>
      </w:pPr>
    </w:p>
    <w:p w:rsidR="00845D46" w:rsidRDefault="00845D46" w:rsidP="00845D46">
      <w:pPr>
        <w:spacing w:after="0"/>
      </w:pPr>
    </w:p>
    <w:p w:rsidR="00761361" w:rsidRDefault="00761361" w:rsidP="00845D46">
      <w:pPr>
        <w:spacing w:after="0"/>
      </w:pPr>
    </w:p>
    <w:p w:rsidR="00845D46" w:rsidRDefault="00845D46" w:rsidP="00845D46">
      <w:pPr>
        <w:spacing w:after="0"/>
      </w:pPr>
    </w:p>
    <w:p w:rsidR="00C93D80" w:rsidRPr="00845D46" w:rsidRDefault="007F5D44" w:rsidP="00845D46">
      <w:pPr>
        <w:spacing w:after="0"/>
      </w:pPr>
      <w:r w:rsidRPr="00845D46">
        <w:t>Where do you want more clarification?</w:t>
      </w:r>
    </w:p>
    <w:p w:rsidR="00845D46" w:rsidRPr="0084670F" w:rsidRDefault="00845D46" w:rsidP="00183034">
      <w:pPr>
        <w:spacing w:after="0"/>
        <w:rPr>
          <w:b/>
          <w:sz w:val="28"/>
          <w:szCs w:val="28"/>
        </w:rPr>
      </w:pPr>
    </w:p>
    <w:p w:rsidR="0084670F" w:rsidRDefault="0084670F"/>
    <w:p w:rsidR="00845D46" w:rsidRDefault="00845D46"/>
    <w:p w:rsidR="00845D46" w:rsidRDefault="00845D4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4670F" w:rsidRDefault="0084670F" w:rsidP="00183034">
      <w:pPr>
        <w:spacing w:after="0"/>
        <w:rPr>
          <w:b/>
          <w:sz w:val="28"/>
          <w:szCs w:val="28"/>
        </w:rPr>
      </w:pPr>
      <w:r w:rsidRPr="0084670F">
        <w:rPr>
          <w:b/>
          <w:sz w:val="28"/>
          <w:szCs w:val="28"/>
        </w:rPr>
        <w:lastRenderedPageBreak/>
        <w:t xml:space="preserve">Part III.  </w:t>
      </w:r>
      <w:r w:rsidR="00845D46">
        <w:rPr>
          <w:b/>
          <w:sz w:val="28"/>
          <w:szCs w:val="28"/>
        </w:rPr>
        <w:t>Responding to the Gap</w:t>
      </w:r>
    </w:p>
    <w:p w:rsidR="00845D46" w:rsidRPr="00F177AB" w:rsidRDefault="00845D46" w:rsidP="00183034">
      <w:pPr>
        <w:spacing w:after="0"/>
        <w:rPr>
          <w:b/>
        </w:rPr>
      </w:pPr>
    </w:p>
    <w:p w:rsidR="0084670F" w:rsidRDefault="00845D46" w:rsidP="00F177AB">
      <w:pPr>
        <w:spacing w:after="0"/>
        <w:ind w:left="720"/>
      </w:pPr>
      <w:r>
        <w:t>There are, potentially, many different ways to think about “filling” the gap between high school and college.  In the literature, a few of the most common are the following.</w:t>
      </w:r>
    </w:p>
    <w:p w:rsidR="00845D46" w:rsidRDefault="00845D46" w:rsidP="00F177AB">
      <w:pPr>
        <w:spacing w:after="0"/>
        <w:ind w:left="720"/>
      </w:pPr>
    </w:p>
    <w:p w:rsidR="00845D46" w:rsidRDefault="00845D46" w:rsidP="00F177AB">
      <w:pPr>
        <w:spacing w:after="0"/>
        <w:ind w:left="720"/>
      </w:pPr>
      <w:r>
        <w:t>Increasing “articulation” between high schools and colleges:</w:t>
      </w:r>
    </w:p>
    <w:p w:rsidR="00845D46" w:rsidRDefault="00F177AB" w:rsidP="00F177AB">
      <w:pPr>
        <w:spacing w:after="0"/>
        <w:ind w:left="1440"/>
      </w:pPr>
      <w:r w:rsidRPr="00F177AB">
        <w:rPr>
          <w:b/>
        </w:rPr>
        <w:t>Strategy 1:</w:t>
      </w:r>
      <w:r w:rsidR="00845D46">
        <w:t xml:space="preserve"> Through increased </w:t>
      </w:r>
      <w:r w:rsidR="00845D46" w:rsidRPr="00F177AB">
        <w:rPr>
          <w:b/>
        </w:rPr>
        <w:t>COMMUNICATION.</w:t>
      </w:r>
    </w:p>
    <w:p w:rsidR="00845D46" w:rsidRDefault="00845D46" w:rsidP="00F177AB">
      <w:pPr>
        <w:spacing w:after="0"/>
        <w:ind w:left="720"/>
      </w:pPr>
    </w:p>
    <w:p w:rsidR="00845D46" w:rsidRDefault="00F177AB" w:rsidP="00F177AB">
      <w:pPr>
        <w:spacing w:after="0"/>
        <w:ind w:left="1440"/>
      </w:pPr>
      <w:r w:rsidRPr="00F177AB">
        <w:rPr>
          <w:b/>
        </w:rPr>
        <w:t>Strategy 2:</w:t>
      </w:r>
      <w:r>
        <w:t xml:space="preserve"> </w:t>
      </w:r>
      <w:r w:rsidR="00845D46">
        <w:t xml:space="preserve">Through increased information about </w:t>
      </w:r>
      <w:r w:rsidR="00845D46" w:rsidRPr="00F177AB">
        <w:rPr>
          <w:b/>
        </w:rPr>
        <w:t>SKILLS</w:t>
      </w:r>
      <w:r w:rsidR="00845D46">
        <w:t>.</w:t>
      </w:r>
    </w:p>
    <w:p w:rsidR="00845D46" w:rsidRDefault="00845D46" w:rsidP="00F177AB">
      <w:pPr>
        <w:spacing w:after="0"/>
        <w:ind w:left="720"/>
      </w:pPr>
    </w:p>
    <w:p w:rsidR="00845D46" w:rsidRDefault="00F177AB" w:rsidP="00F177AB">
      <w:pPr>
        <w:spacing w:after="0"/>
        <w:ind w:left="1440"/>
      </w:pPr>
      <w:r w:rsidRPr="00F177AB">
        <w:rPr>
          <w:b/>
        </w:rPr>
        <w:t>Strategy 3:</w:t>
      </w:r>
      <w:r>
        <w:t xml:space="preserve"> </w:t>
      </w:r>
      <w:r w:rsidR="00845D46">
        <w:t xml:space="preserve">Through increased awareness of relevant </w:t>
      </w:r>
      <w:r w:rsidR="00845D46" w:rsidRPr="00F177AB">
        <w:rPr>
          <w:b/>
        </w:rPr>
        <w:t>HABITS of MIND</w:t>
      </w:r>
      <w:r w:rsidR="009F04A6" w:rsidRPr="00F177AB">
        <w:rPr>
          <w:b/>
        </w:rPr>
        <w:t>.</w:t>
      </w:r>
    </w:p>
    <w:p w:rsidR="0084670F" w:rsidRDefault="0084670F" w:rsidP="00F177AB">
      <w:pPr>
        <w:spacing w:after="0"/>
        <w:ind w:left="720"/>
      </w:pPr>
    </w:p>
    <w:p w:rsidR="0084670F" w:rsidRDefault="00F177AB" w:rsidP="00F177AB">
      <w:pPr>
        <w:spacing w:after="0"/>
        <w:ind w:left="720"/>
      </w:pPr>
      <w:r w:rsidRPr="00F177AB">
        <w:rPr>
          <w:b/>
        </w:rPr>
        <w:t>Strategy 4:</w:t>
      </w:r>
      <w:r>
        <w:t xml:space="preserve"> </w:t>
      </w:r>
      <w:r w:rsidR="00845D46">
        <w:t>Increasing training in methods of “</w:t>
      </w:r>
      <w:r w:rsidR="00845D46" w:rsidRPr="00845D46">
        <w:rPr>
          <w:b/>
        </w:rPr>
        <w:t>TEACHING for TRANSFER</w:t>
      </w:r>
      <w:r w:rsidR="009F04A6">
        <w:rPr>
          <w:b/>
        </w:rPr>
        <w:t>.</w:t>
      </w:r>
      <w:r w:rsidR="00845D46">
        <w:t>”</w:t>
      </w:r>
    </w:p>
    <w:p w:rsidR="00845D46" w:rsidRDefault="00845D46" w:rsidP="00F177AB">
      <w:pPr>
        <w:spacing w:after="0"/>
        <w:ind w:left="720"/>
      </w:pPr>
    </w:p>
    <w:p w:rsidR="00845D46" w:rsidRDefault="00F177AB" w:rsidP="00F177AB">
      <w:pPr>
        <w:spacing w:after="0"/>
        <w:ind w:left="720"/>
      </w:pPr>
      <w:r w:rsidRPr="00F177AB">
        <w:rPr>
          <w:b/>
        </w:rPr>
        <w:t>Strategy 5:</w:t>
      </w:r>
      <w:r>
        <w:t xml:space="preserve"> </w:t>
      </w:r>
      <w:r w:rsidR="00845D46">
        <w:t xml:space="preserve">Acknowledging and appreciating that there may be </w:t>
      </w:r>
      <w:r w:rsidR="00845D46" w:rsidRPr="00845D46">
        <w:rPr>
          <w:b/>
        </w:rPr>
        <w:t>necessary and appropriate disconnects</w:t>
      </w:r>
      <w:r w:rsidR="00845D46">
        <w:t xml:space="preserve"> between what happens in high school and what happens in college</w:t>
      </w:r>
      <w:r w:rsidR="009F04A6">
        <w:t>.</w:t>
      </w:r>
    </w:p>
    <w:p w:rsidR="0084670F" w:rsidRDefault="0084670F"/>
    <w:p w:rsidR="00CB5F8D" w:rsidRDefault="00CB5F8D">
      <w:pPr>
        <w:rPr>
          <w:b/>
        </w:rPr>
      </w:pPr>
      <w:r>
        <w:rPr>
          <w:b/>
        </w:rPr>
        <w:br w:type="page"/>
      </w:r>
    </w:p>
    <w:p w:rsidR="00F177AB" w:rsidRPr="00F177AB" w:rsidRDefault="00F177AB">
      <w:pPr>
        <w:rPr>
          <w:b/>
        </w:rPr>
      </w:pPr>
      <w:r w:rsidRPr="00F177AB">
        <w:rPr>
          <w:b/>
        </w:rPr>
        <w:lastRenderedPageBreak/>
        <w:t>Strategy 1: Facilitating transfer by increasing communication between high school and college faculty</w:t>
      </w:r>
    </w:p>
    <w:p w:rsidR="00F177AB" w:rsidRDefault="00F177AB" w:rsidP="00F177AB">
      <w:pPr>
        <w:pStyle w:val="ListParagraph"/>
        <w:numPr>
          <w:ilvl w:val="0"/>
          <w:numId w:val="18"/>
        </w:numPr>
      </w:pPr>
      <w:r>
        <w:t>View the college-level prompts in the other handout (also available online here: bit.ly/QelBxQ</w:t>
      </w:r>
    </w:p>
    <w:p w:rsidR="00CB5F8D" w:rsidRDefault="00514F3F" w:rsidP="00CB5F8D">
      <w:pPr>
        <w:pStyle w:val="ListParagraph"/>
        <w:numPr>
          <w:ilvl w:val="0"/>
          <w:numId w:val="18"/>
        </w:numPr>
      </w:pPr>
      <w:r>
        <w:t>Consider attending Teaching Writing in Wyoming</w:t>
      </w:r>
      <w:r w:rsidR="001A602C">
        <w:t>:</w:t>
      </w:r>
    </w:p>
    <w:p w:rsidR="00CB5F8D" w:rsidRDefault="00C6024A" w:rsidP="00CB5F8D">
      <w:pPr>
        <w:ind w:left="720"/>
      </w:pPr>
      <w:r>
        <w:t>In addition to follow-up discussion about last year’s meeting on transfer of learning, the next annual Teaching Writing in Wyoming conference (April 7-8 in Casper, WY) will focus largely on strategies for teaching research literacies: how can teachers (especially grades 7-12)</w:t>
      </w:r>
      <w:r w:rsidR="00CB5F8D">
        <w:t xml:space="preserve"> develop assignments, units, projects, and collaborations that promote students’ deep engagement wit</w:t>
      </w:r>
      <w:r w:rsidR="001A602C">
        <w:t xml:space="preserve">h content while also encouraging </w:t>
      </w:r>
      <w:r>
        <w:t>ethical</w:t>
      </w:r>
      <w:r w:rsidR="001A602C">
        <w:t>, critical, and broad use of sources?</w:t>
      </w:r>
    </w:p>
    <w:p w:rsidR="00C12890" w:rsidRDefault="00E91E7A" w:rsidP="00CB5F8D">
      <w:pPr>
        <w:pStyle w:val="ListParagraph"/>
        <w:numPr>
          <w:ilvl w:val="0"/>
          <w:numId w:val="18"/>
        </w:numPr>
      </w:pPr>
      <w:r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608330</wp:posOffset>
                </wp:positionH>
                <wp:positionV relativeFrom="paragraph">
                  <wp:posOffset>465455</wp:posOffset>
                </wp:positionV>
                <wp:extent cx="5770880" cy="4933950"/>
                <wp:effectExtent l="0" t="0" r="2032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880" cy="4933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7.9pt;margin-top:36.65pt;width:454.4pt;height:3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" filled="f" strokecolor="#a5a5a5 [2092]" strokeweight="2pt">
                <v:path arrowok="t"/>
              </v:rect>
            </w:pict>
          </mc:Fallback>
        </mc:AlternateContent>
      </w:r>
      <w:r w:rsidR="00C12890">
        <w:t>Plan professional development and curricular change based on dialogue with college faculty</w:t>
      </w:r>
      <w:r w:rsidR="00514F3F">
        <w:t>.  The following plan is from Lander Valley High School and emerged from their dialogue with CWC and UW.</w:t>
      </w:r>
    </w:p>
    <w:p w:rsidR="00514F3F" w:rsidRPr="00514F3F" w:rsidRDefault="00514F3F" w:rsidP="00CC0CA8">
      <w:pPr>
        <w:spacing w:after="0"/>
        <w:ind w:left="1080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14F3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Make instructional changes to LA 12</w:t>
      </w:r>
    </w:p>
    <w:p w:rsidR="00514F3F" w:rsidRPr="00514F3F" w:rsidRDefault="00514F3F" w:rsidP="00CC0CA8">
      <w:pPr>
        <w:numPr>
          <w:ilvl w:val="0"/>
          <w:numId w:val="19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14F3F">
        <w:rPr>
          <w:rFonts w:ascii="Times New Roman" w:eastAsia="Times New Roman" w:hAnsi="Times New Roman" w:cs="Times New Roman"/>
          <w:color w:val="000000"/>
          <w:sz w:val="20"/>
          <w:szCs w:val="20"/>
        </w:rPr>
        <w:t>Focus on expository</w:t>
      </w:r>
    </w:p>
    <w:p w:rsidR="00514F3F" w:rsidRPr="00514F3F" w:rsidRDefault="00514F3F" w:rsidP="00CC0CA8">
      <w:pPr>
        <w:numPr>
          <w:ilvl w:val="1"/>
          <w:numId w:val="19"/>
        </w:numPr>
        <w:spacing w:after="0" w:line="240" w:lineRule="auto"/>
        <w:ind w:left="252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14F3F">
        <w:rPr>
          <w:rFonts w:ascii="Times New Roman" w:eastAsia="Times New Roman" w:hAnsi="Times New Roman" w:cs="Times New Roman"/>
          <w:color w:val="000000"/>
          <w:sz w:val="20"/>
          <w:szCs w:val="20"/>
        </w:rPr>
        <w:t>claim, evidence, analysis</w:t>
      </w:r>
    </w:p>
    <w:p w:rsidR="00514F3F" w:rsidRPr="00514F3F" w:rsidRDefault="00514F3F" w:rsidP="00CC0CA8">
      <w:pPr>
        <w:numPr>
          <w:ilvl w:val="1"/>
          <w:numId w:val="19"/>
        </w:numPr>
        <w:spacing w:after="0" w:line="240" w:lineRule="auto"/>
        <w:ind w:left="252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14F3F">
        <w:rPr>
          <w:rFonts w:ascii="Times New Roman" w:eastAsia="Times New Roman" w:hAnsi="Times New Roman" w:cs="Times New Roman"/>
          <w:color w:val="000000"/>
          <w:sz w:val="20"/>
          <w:szCs w:val="20"/>
        </w:rPr>
        <w:t>synthesis</w:t>
      </w:r>
    </w:p>
    <w:p w:rsidR="00514F3F" w:rsidRPr="00514F3F" w:rsidRDefault="00514F3F" w:rsidP="00CC0CA8">
      <w:pPr>
        <w:numPr>
          <w:ilvl w:val="1"/>
          <w:numId w:val="19"/>
        </w:numPr>
        <w:spacing w:after="0" w:line="240" w:lineRule="auto"/>
        <w:ind w:left="252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14F3F">
        <w:rPr>
          <w:rFonts w:ascii="Times New Roman" w:eastAsia="Times New Roman" w:hAnsi="Times New Roman" w:cs="Times New Roman"/>
          <w:color w:val="000000"/>
          <w:sz w:val="20"/>
          <w:szCs w:val="20"/>
        </w:rPr>
        <w:t>writing densely</w:t>
      </w:r>
    </w:p>
    <w:p w:rsidR="00514F3F" w:rsidRPr="00514F3F" w:rsidRDefault="00514F3F" w:rsidP="00CC0CA8">
      <w:pPr>
        <w:numPr>
          <w:ilvl w:val="1"/>
          <w:numId w:val="19"/>
        </w:numPr>
        <w:spacing w:after="0" w:line="240" w:lineRule="auto"/>
        <w:ind w:left="252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14F3F">
        <w:rPr>
          <w:rFonts w:ascii="Times New Roman" w:eastAsia="Times New Roman" w:hAnsi="Times New Roman" w:cs="Times New Roman"/>
          <w:color w:val="000000"/>
          <w:sz w:val="20"/>
          <w:szCs w:val="20"/>
        </w:rPr>
        <w:t>transition sentences</w:t>
      </w:r>
    </w:p>
    <w:p w:rsidR="00514F3F" w:rsidRPr="00514F3F" w:rsidRDefault="00514F3F" w:rsidP="00CC0CA8">
      <w:pPr>
        <w:numPr>
          <w:ilvl w:val="0"/>
          <w:numId w:val="19"/>
        </w:numPr>
        <w:spacing w:after="0" w:line="240" w:lineRule="auto"/>
        <w:ind w:left="1800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514F3F">
        <w:rPr>
          <w:rFonts w:ascii="Times New Roman" w:eastAsia="Times New Roman" w:hAnsi="Times New Roman" w:cs="Times New Roman"/>
          <w:color w:val="000000"/>
          <w:sz w:val="20"/>
          <w:szCs w:val="20"/>
        </w:rPr>
        <w:t>Personal narratives moved to start of year and small assignments throughout</w:t>
      </w:r>
    </w:p>
    <w:p w:rsidR="00514F3F" w:rsidRPr="00514F3F" w:rsidRDefault="00514F3F" w:rsidP="00CC0CA8">
      <w:pPr>
        <w:numPr>
          <w:ilvl w:val="1"/>
          <w:numId w:val="19"/>
        </w:numPr>
        <w:spacing w:after="0" w:line="240" w:lineRule="auto"/>
        <w:ind w:left="252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14F3F">
        <w:rPr>
          <w:rFonts w:ascii="Times New Roman" w:eastAsia="Times New Roman" w:hAnsi="Times New Roman" w:cs="Times New Roman"/>
          <w:color w:val="000000"/>
          <w:sz w:val="20"/>
          <w:szCs w:val="20"/>
        </w:rPr>
        <w:t>great for understanding students and building rapport</w:t>
      </w:r>
    </w:p>
    <w:p w:rsidR="00514F3F" w:rsidRPr="00514F3F" w:rsidRDefault="00514F3F" w:rsidP="00CC0CA8">
      <w:pPr>
        <w:numPr>
          <w:ilvl w:val="1"/>
          <w:numId w:val="19"/>
        </w:numPr>
        <w:spacing w:after="0" w:line="240" w:lineRule="auto"/>
        <w:ind w:left="252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14F3F">
        <w:rPr>
          <w:rFonts w:ascii="Times New Roman" w:eastAsia="Times New Roman" w:hAnsi="Times New Roman" w:cs="Times New Roman"/>
          <w:color w:val="000000"/>
          <w:sz w:val="20"/>
          <w:szCs w:val="20"/>
        </w:rPr>
        <w:t>not so great for college prep</w:t>
      </w:r>
    </w:p>
    <w:p w:rsidR="00514F3F" w:rsidRPr="00514F3F" w:rsidRDefault="00514F3F" w:rsidP="00CC0CA8">
      <w:pPr>
        <w:numPr>
          <w:ilvl w:val="1"/>
          <w:numId w:val="19"/>
        </w:numPr>
        <w:spacing w:after="0" w:line="240" w:lineRule="auto"/>
        <w:ind w:left="252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14F3F">
        <w:rPr>
          <w:rFonts w:ascii="Times New Roman" w:eastAsia="Times New Roman" w:hAnsi="Times New Roman" w:cs="Times New Roman"/>
          <w:color w:val="000000"/>
          <w:sz w:val="20"/>
          <w:szCs w:val="20"/>
        </w:rPr>
        <w:t>therapy - writing as psychological control</w:t>
      </w:r>
    </w:p>
    <w:p w:rsidR="00514F3F" w:rsidRPr="00514F3F" w:rsidRDefault="00514F3F" w:rsidP="00CC0CA8">
      <w:pPr>
        <w:numPr>
          <w:ilvl w:val="0"/>
          <w:numId w:val="19"/>
        </w:numPr>
        <w:spacing w:after="0" w:line="240" w:lineRule="auto"/>
        <w:ind w:left="1800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514F3F">
        <w:rPr>
          <w:rFonts w:ascii="Times New Roman" w:eastAsia="Times New Roman" w:hAnsi="Times New Roman" w:cs="Times New Roman"/>
          <w:color w:val="000000"/>
          <w:sz w:val="20"/>
          <w:szCs w:val="20"/>
        </w:rPr>
        <w:t>Talking about college writing in all senior English classes</w:t>
      </w:r>
    </w:p>
    <w:p w:rsidR="00514F3F" w:rsidRPr="00514F3F" w:rsidRDefault="00514F3F" w:rsidP="00CC0CA8">
      <w:pPr>
        <w:numPr>
          <w:ilvl w:val="1"/>
          <w:numId w:val="19"/>
        </w:numPr>
        <w:spacing w:after="0" w:line="240" w:lineRule="auto"/>
        <w:ind w:left="252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14F3F">
        <w:rPr>
          <w:rFonts w:ascii="Times New Roman" w:eastAsia="Times New Roman" w:hAnsi="Times New Roman" w:cs="Times New Roman"/>
          <w:color w:val="000000"/>
          <w:sz w:val="20"/>
          <w:szCs w:val="20"/>
        </w:rPr>
        <w:t>building upon the foundations already established by previous Eng. teachers</w:t>
      </w:r>
    </w:p>
    <w:p w:rsidR="00514F3F" w:rsidRPr="00514F3F" w:rsidRDefault="00514F3F" w:rsidP="00CC0CA8">
      <w:pPr>
        <w:numPr>
          <w:ilvl w:val="1"/>
          <w:numId w:val="19"/>
        </w:numPr>
        <w:spacing w:after="0" w:line="240" w:lineRule="auto"/>
        <w:ind w:left="252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14F3F">
        <w:rPr>
          <w:rFonts w:ascii="Times New Roman" w:eastAsia="Times New Roman" w:hAnsi="Times New Roman" w:cs="Times New Roman"/>
          <w:color w:val="000000"/>
          <w:sz w:val="20"/>
          <w:szCs w:val="20"/>
        </w:rPr>
        <w:t>discussing the role that “instructor preference” plays in adjusting writing tone, style, and format</w:t>
      </w:r>
    </w:p>
    <w:p w:rsidR="00514F3F" w:rsidRPr="00514F3F" w:rsidRDefault="00514F3F" w:rsidP="00CC0CA8">
      <w:pPr>
        <w:numPr>
          <w:ilvl w:val="1"/>
          <w:numId w:val="19"/>
        </w:numPr>
        <w:spacing w:after="0" w:line="240" w:lineRule="auto"/>
        <w:ind w:left="252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14F3F">
        <w:rPr>
          <w:rFonts w:ascii="Times New Roman" w:eastAsia="Times New Roman" w:hAnsi="Times New Roman" w:cs="Times New Roman"/>
          <w:color w:val="000000"/>
          <w:sz w:val="20"/>
          <w:szCs w:val="20"/>
        </w:rPr>
        <w:t>strongly encouraging students to visit writing centers</w:t>
      </w:r>
    </w:p>
    <w:p w:rsidR="00514F3F" w:rsidRPr="00514F3F" w:rsidRDefault="00514F3F" w:rsidP="00CC0CA8">
      <w:pPr>
        <w:spacing w:after="0"/>
        <w:ind w:left="108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14F3F">
        <w:rPr>
          <w:rFonts w:ascii="Times New Roman" w:eastAsia="Times New Roman" w:hAnsi="Times New Roman" w:cs="Times New Roman"/>
          <w:b/>
          <w:sz w:val="20"/>
          <w:szCs w:val="20"/>
        </w:rPr>
        <w:t>Provide education/PD for staff about writing</w:t>
      </w:r>
    </w:p>
    <w:p w:rsidR="00514F3F" w:rsidRPr="00514F3F" w:rsidRDefault="00514F3F" w:rsidP="00CC0CA8">
      <w:pPr>
        <w:numPr>
          <w:ilvl w:val="0"/>
          <w:numId w:val="20"/>
        </w:numPr>
        <w:spacing w:after="0" w:line="240" w:lineRule="auto"/>
        <w:ind w:left="1800"/>
        <w:contextualSpacing/>
        <w:rPr>
          <w:rFonts w:ascii="Times New Roman" w:eastAsiaTheme="minorEastAsia" w:hAnsi="Times New Roman"/>
          <w:sz w:val="20"/>
          <w:szCs w:val="20"/>
        </w:rPr>
      </w:pPr>
      <w:r w:rsidRPr="00514F3F">
        <w:rPr>
          <w:rFonts w:ascii="Times New Roman" w:eastAsiaTheme="minorEastAsia" w:hAnsi="Times New Roman"/>
          <w:sz w:val="20"/>
          <w:szCs w:val="20"/>
        </w:rPr>
        <w:t>Common Core</w:t>
      </w:r>
    </w:p>
    <w:p w:rsidR="00514F3F" w:rsidRPr="00514F3F" w:rsidRDefault="00514F3F" w:rsidP="00CC0CA8">
      <w:pPr>
        <w:numPr>
          <w:ilvl w:val="0"/>
          <w:numId w:val="20"/>
        </w:numPr>
        <w:spacing w:after="0" w:line="240" w:lineRule="auto"/>
        <w:ind w:left="1800"/>
        <w:contextualSpacing/>
        <w:rPr>
          <w:rFonts w:ascii="Times New Roman" w:eastAsiaTheme="minorEastAsia" w:hAnsi="Times New Roman"/>
          <w:sz w:val="20"/>
          <w:szCs w:val="20"/>
        </w:rPr>
      </w:pPr>
      <w:r w:rsidRPr="00514F3F">
        <w:rPr>
          <w:rFonts w:ascii="Times New Roman" w:eastAsiaTheme="minorEastAsia" w:hAnsi="Times New Roman"/>
          <w:sz w:val="20"/>
          <w:szCs w:val="20"/>
        </w:rPr>
        <w:t>Required Skills</w:t>
      </w:r>
    </w:p>
    <w:p w:rsidR="00514F3F" w:rsidRPr="00514F3F" w:rsidRDefault="00514F3F" w:rsidP="00CC0CA8">
      <w:pPr>
        <w:numPr>
          <w:ilvl w:val="1"/>
          <w:numId w:val="20"/>
        </w:numPr>
        <w:spacing w:after="0" w:line="240" w:lineRule="auto"/>
        <w:ind w:left="2520"/>
        <w:contextualSpacing/>
        <w:rPr>
          <w:rFonts w:ascii="Times New Roman" w:eastAsiaTheme="minorEastAsia" w:hAnsi="Times New Roman"/>
          <w:sz w:val="20"/>
          <w:szCs w:val="20"/>
        </w:rPr>
      </w:pPr>
      <w:r w:rsidRPr="00514F3F">
        <w:rPr>
          <w:rFonts w:ascii="Times New Roman" w:eastAsiaTheme="minorEastAsia" w:hAnsi="Times New Roman"/>
          <w:sz w:val="20"/>
          <w:szCs w:val="20"/>
        </w:rPr>
        <w:t>6-Trait Writing</w:t>
      </w:r>
    </w:p>
    <w:p w:rsidR="00514F3F" w:rsidRPr="00514F3F" w:rsidRDefault="00514F3F" w:rsidP="00CC0CA8">
      <w:pPr>
        <w:numPr>
          <w:ilvl w:val="1"/>
          <w:numId w:val="20"/>
        </w:numPr>
        <w:spacing w:after="0" w:line="240" w:lineRule="auto"/>
        <w:ind w:left="2520"/>
        <w:contextualSpacing/>
        <w:rPr>
          <w:rFonts w:ascii="Times New Roman" w:eastAsiaTheme="minorEastAsia" w:hAnsi="Times New Roman"/>
          <w:sz w:val="20"/>
          <w:szCs w:val="20"/>
        </w:rPr>
      </w:pPr>
      <w:r w:rsidRPr="00514F3F">
        <w:rPr>
          <w:rFonts w:ascii="Times New Roman" w:eastAsiaTheme="minorEastAsia" w:hAnsi="Times New Roman"/>
          <w:sz w:val="20"/>
          <w:szCs w:val="20"/>
        </w:rPr>
        <w:t>Organization/Format (The Basics, Persuasive, Compare/Contrast)</w:t>
      </w:r>
    </w:p>
    <w:p w:rsidR="00514F3F" w:rsidRPr="00514F3F" w:rsidRDefault="00514F3F" w:rsidP="00CC0CA8">
      <w:pPr>
        <w:numPr>
          <w:ilvl w:val="1"/>
          <w:numId w:val="20"/>
        </w:numPr>
        <w:spacing w:after="0" w:line="240" w:lineRule="auto"/>
        <w:ind w:left="2520"/>
        <w:contextualSpacing/>
        <w:rPr>
          <w:rFonts w:ascii="Times New Roman" w:eastAsiaTheme="minorEastAsia" w:hAnsi="Times New Roman"/>
          <w:sz w:val="20"/>
          <w:szCs w:val="20"/>
        </w:rPr>
      </w:pPr>
      <w:r w:rsidRPr="00514F3F">
        <w:rPr>
          <w:rFonts w:ascii="Times New Roman" w:eastAsiaTheme="minorEastAsia" w:hAnsi="Times New Roman"/>
          <w:sz w:val="20"/>
          <w:szCs w:val="20"/>
        </w:rPr>
        <w:t>Analytical Response Format (Claim, Evidence, Analysis)</w:t>
      </w:r>
    </w:p>
    <w:p w:rsidR="00514F3F" w:rsidRPr="00514F3F" w:rsidRDefault="00514F3F" w:rsidP="00CC0CA8">
      <w:pPr>
        <w:numPr>
          <w:ilvl w:val="1"/>
          <w:numId w:val="20"/>
        </w:numPr>
        <w:spacing w:after="0" w:line="240" w:lineRule="auto"/>
        <w:ind w:left="2520"/>
        <w:contextualSpacing/>
        <w:rPr>
          <w:rFonts w:ascii="Times New Roman" w:eastAsiaTheme="minorEastAsia" w:hAnsi="Times New Roman"/>
          <w:sz w:val="20"/>
          <w:szCs w:val="20"/>
        </w:rPr>
      </w:pPr>
      <w:r w:rsidRPr="00514F3F">
        <w:rPr>
          <w:rFonts w:ascii="Times New Roman" w:eastAsiaTheme="minorEastAsia" w:hAnsi="Times New Roman"/>
          <w:sz w:val="20"/>
          <w:szCs w:val="20"/>
        </w:rPr>
        <w:t>Teaching Summary Writing</w:t>
      </w:r>
    </w:p>
    <w:p w:rsidR="00514F3F" w:rsidRPr="00514F3F" w:rsidRDefault="00514F3F" w:rsidP="00CC0CA8">
      <w:pPr>
        <w:numPr>
          <w:ilvl w:val="1"/>
          <w:numId w:val="20"/>
        </w:numPr>
        <w:spacing w:after="0" w:line="240" w:lineRule="auto"/>
        <w:ind w:left="2520"/>
        <w:contextualSpacing/>
        <w:rPr>
          <w:rFonts w:ascii="Times New Roman" w:eastAsiaTheme="minorEastAsia" w:hAnsi="Times New Roman"/>
          <w:sz w:val="20"/>
          <w:szCs w:val="20"/>
        </w:rPr>
      </w:pPr>
      <w:r w:rsidRPr="00514F3F">
        <w:rPr>
          <w:rFonts w:ascii="Times New Roman" w:eastAsiaTheme="minorEastAsia" w:hAnsi="Times New Roman"/>
          <w:sz w:val="20"/>
          <w:szCs w:val="20"/>
        </w:rPr>
        <w:t>Teaching Vocabulary</w:t>
      </w:r>
    </w:p>
    <w:p w:rsidR="00514F3F" w:rsidRPr="00514F3F" w:rsidRDefault="00514F3F" w:rsidP="00CC0CA8">
      <w:pPr>
        <w:numPr>
          <w:ilvl w:val="1"/>
          <w:numId w:val="20"/>
        </w:numPr>
        <w:spacing w:after="0" w:line="240" w:lineRule="auto"/>
        <w:ind w:left="2520"/>
        <w:contextualSpacing/>
        <w:rPr>
          <w:rFonts w:ascii="Times New Roman" w:eastAsiaTheme="minorEastAsia" w:hAnsi="Times New Roman"/>
          <w:sz w:val="20"/>
          <w:szCs w:val="20"/>
        </w:rPr>
      </w:pPr>
      <w:r w:rsidRPr="00514F3F">
        <w:rPr>
          <w:rFonts w:ascii="Times New Roman" w:eastAsiaTheme="minorEastAsia" w:hAnsi="Times New Roman"/>
          <w:sz w:val="20"/>
          <w:szCs w:val="20"/>
        </w:rPr>
        <w:t>Effective Use of Rubrics</w:t>
      </w:r>
    </w:p>
    <w:p w:rsidR="00514F3F" w:rsidRPr="00514F3F" w:rsidRDefault="00514F3F" w:rsidP="00CC0CA8">
      <w:pPr>
        <w:numPr>
          <w:ilvl w:val="1"/>
          <w:numId w:val="20"/>
        </w:numPr>
        <w:spacing w:after="0" w:line="240" w:lineRule="auto"/>
        <w:ind w:left="2520"/>
        <w:contextualSpacing/>
        <w:rPr>
          <w:rFonts w:ascii="Times New Roman" w:eastAsiaTheme="minorEastAsia" w:hAnsi="Times New Roman"/>
          <w:sz w:val="20"/>
          <w:szCs w:val="20"/>
        </w:rPr>
      </w:pPr>
      <w:r w:rsidRPr="00514F3F">
        <w:rPr>
          <w:rFonts w:ascii="Times New Roman" w:eastAsiaTheme="minorEastAsia" w:hAnsi="Times New Roman"/>
          <w:sz w:val="20"/>
          <w:szCs w:val="20"/>
        </w:rPr>
        <w:t>Annotating/Reciprocal Reading</w:t>
      </w:r>
    </w:p>
    <w:p w:rsidR="00514F3F" w:rsidRPr="00514F3F" w:rsidRDefault="00514F3F" w:rsidP="00CC0CA8">
      <w:pPr>
        <w:numPr>
          <w:ilvl w:val="0"/>
          <w:numId w:val="20"/>
        </w:numPr>
        <w:spacing w:after="0" w:line="240" w:lineRule="auto"/>
        <w:ind w:left="1800"/>
        <w:contextualSpacing/>
        <w:rPr>
          <w:rFonts w:ascii="Times New Roman" w:eastAsiaTheme="minorEastAsia" w:hAnsi="Times New Roman"/>
          <w:sz w:val="20"/>
          <w:szCs w:val="20"/>
        </w:rPr>
      </w:pPr>
      <w:r w:rsidRPr="00514F3F">
        <w:rPr>
          <w:rFonts w:ascii="Times New Roman" w:eastAsiaTheme="minorEastAsia" w:hAnsi="Times New Roman"/>
          <w:sz w:val="20"/>
          <w:szCs w:val="20"/>
        </w:rPr>
        <w:t>Common Vernacular</w:t>
      </w:r>
    </w:p>
    <w:p w:rsidR="00514F3F" w:rsidRPr="00514F3F" w:rsidRDefault="00514F3F" w:rsidP="00CC0CA8">
      <w:pPr>
        <w:spacing w:after="0"/>
        <w:ind w:left="108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14F3F">
        <w:rPr>
          <w:rFonts w:ascii="Times New Roman" w:eastAsia="Times New Roman" w:hAnsi="Times New Roman" w:cs="Times New Roman"/>
          <w:b/>
          <w:sz w:val="20"/>
          <w:szCs w:val="20"/>
        </w:rPr>
        <w:t>Build an expectation for transfer into English class curriculum</w:t>
      </w:r>
    </w:p>
    <w:p w:rsidR="00514F3F" w:rsidRPr="00514F3F" w:rsidRDefault="00514F3F" w:rsidP="00CC0CA8">
      <w:pPr>
        <w:numPr>
          <w:ilvl w:val="1"/>
          <w:numId w:val="21"/>
        </w:numPr>
        <w:spacing w:after="0" w:line="240" w:lineRule="auto"/>
        <w:ind w:left="1800"/>
        <w:contextualSpacing/>
        <w:rPr>
          <w:rFonts w:ascii="Times New Roman" w:eastAsiaTheme="minorEastAsia" w:hAnsi="Times New Roman" w:cs="Times New Roman"/>
          <w:sz w:val="20"/>
          <w:szCs w:val="20"/>
        </w:rPr>
      </w:pPr>
      <w:r w:rsidRPr="00514F3F">
        <w:rPr>
          <w:rFonts w:ascii="Times New Roman" w:eastAsiaTheme="minorEastAsia" w:hAnsi="Times New Roman" w:cs="Times New Roman"/>
          <w:sz w:val="20"/>
          <w:szCs w:val="20"/>
        </w:rPr>
        <w:t>Common Vernacular</w:t>
      </w:r>
    </w:p>
    <w:p w:rsidR="00514F3F" w:rsidRPr="00514F3F" w:rsidRDefault="00514F3F" w:rsidP="00CC0CA8">
      <w:pPr>
        <w:numPr>
          <w:ilvl w:val="1"/>
          <w:numId w:val="21"/>
        </w:numPr>
        <w:spacing w:after="0" w:line="240" w:lineRule="auto"/>
        <w:ind w:left="1800"/>
        <w:contextualSpacing/>
        <w:rPr>
          <w:rFonts w:ascii="Times New Roman" w:eastAsiaTheme="minorEastAsia" w:hAnsi="Times New Roman" w:cs="Times New Roman"/>
          <w:sz w:val="20"/>
          <w:szCs w:val="20"/>
        </w:rPr>
      </w:pPr>
      <w:r w:rsidRPr="00514F3F">
        <w:rPr>
          <w:rFonts w:ascii="Times New Roman" w:eastAsiaTheme="minorEastAsia" w:hAnsi="Times New Roman" w:cs="Times New Roman"/>
          <w:sz w:val="20"/>
          <w:szCs w:val="20"/>
        </w:rPr>
        <w:t>Limited narrative writes (even at lower grades) with a move more towards literary analysis (literature AND non-fiction pieces)</w:t>
      </w:r>
    </w:p>
    <w:p w:rsidR="00514F3F" w:rsidRPr="00514F3F" w:rsidRDefault="00514F3F" w:rsidP="00CC0CA8">
      <w:pPr>
        <w:numPr>
          <w:ilvl w:val="1"/>
          <w:numId w:val="21"/>
        </w:numPr>
        <w:spacing w:after="0" w:line="240" w:lineRule="auto"/>
        <w:ind w:left="1800"/>
        <w:contextualSpacing/>
        <w:rPr>
          <w:rFonts w:ascii="Times New Roman" w:eastAsiaTheme="minorEastAsia" w:hAnsi="Times New Roman" w:cs="Times New Roman"/>
          <w:sz w:val="20"/>
          <w:szCs w:val="20"/>
        </w:rPr>
      </w:pPr>
      <w:r w:rsidRPr="00514F3F">
        <w:rPr>
          <w:rFonts w:ascii="Times New Roman" w:eastAsiaTheme="minorEastAsia" w:hAnsi="Times New Roman" w:cs="Times New Roman"/>
          <w:sz w:val="20"/>
          <w:szCs w:val="20"/>
        </w:rPr>
        <w:t>Shorter writes with faster turnaround/feedback for more rewrites</w:t>
      </w:r>
    </w:p>
    <w:p w:rsidR="00514F3F" w:rsidRPr="00514F3F" w:rsidRDefault="00514F3F" w:rsidP="00CC0CA8">
      <w:pPr>
        <w:spacing w:after="0"/>
        <w:ind w:left="1080"/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  <w:r w:rsidRPr="00514F3F">
        <w:rPr>
          <w:rFonts w:ascii="Times New Roman" w:eastAsia="Times New Roman" w:hAnsi="Times New Roman" w:cs="Times New Roman"/>
          <w:b/>
          <w:sz w:val="20"/>
          <w:szCs w:val="20"/>
        </w:rPr>
        <w:t>Maintain continued discourse with higher learning institutions</w:t>
      </w:r>
    </w:p>
    <w:p w:rsidR="00514F3F" w:rsidRPr="00CB5F8D" w:rsidRDefault="00514F3F" w:rsidP="00514F3F">
      <w:pPr>
        <w:contextualSpacing/>
        <w:rPr>
          <w:sz w:val="20"/>
          <w:szCs w:val="20"/>
        </w:rPr>
      </w:pPr>
    </w:p>
    <w:p w:rsidR="00514F3F" w:rsidRDefault="00CB5F8D" w:rsidP="00C6024A">
      <w:pPr>
        <w:ind w:left="720"/>
        <w:rPr>
          <w:b/>
        </w:rPr>
      </w:pPr>
      <w:r w:rsidRPr="0093088F">
        <w:rPr>
          <w:rFonts w:cstheme="minorHAnsi"/>
        </w:rPr>
        <w:t>[This list was provided by Hillary Herron and Paul Primrose, LVHS English Department, based on conversations between LVHS, CWC, and UW.  Contact Hillary for more information: hherron@landerschools.org]</w:t>
      </w:r>
      <w:r w:rsidR="00514F3F">
        <w:rPr>
          <w:b/>
        </w:rPr>
        <w:br w:type="page"/>
      </w:r>
    </w:p>
    <w:p w:rsidR="00514F3F" w:rsidRDefault="00514F3F" w:rsidP="00514F3F">
      <w:pPr>
        <w:contextualSpacing/>
        <w:rPr>
          <w:b/>
        </w:rPr>
      </w:pPr>
      <w:r w:rsidRPr="00514F3F">
        <w:rPr>
          <w:b/>
        </w:rPr>
        <w:lastRenderedPageBreak/>
        <w:t>Strategy 2: Build knowledge of the key skills that college faculty see as most important for college success.</w:t>
      </w:r>
    </w:p>
    <w:p w:rsidR="00514F3F" w:rsidRDefault="00514F3F" w:rsidP="00514F3F">
      <w:pPr>
        <w:contextualSpacing/>
        <w:rPr>
          <w:b/>
        </w:rPr>
      </w:pPr>
    </w:p>
    <w:p w:rsidR="00514F3F" w:rsidRPr="00514F3F" w:rsidRDefault="00514F3F" w:rsidP="00514F3F">
      <w:pPr>
        <w:contextualSpacing/>
      </w:pPr>
      <w:r w:rsidRPr="00514F3F">
        <w:t>From ACT’s National Curriculum Survey, 2009:</w:t>
      </w:r>
    </w:p>
    <w:p w:rsidR="00514F3F" w:rsidRDefault="00514F3F" w:rsidP="00514F3F">
      <w:pPr>
        <w:contextualSpacing/>
        <w:rPr>
          <w:b/>
        </w:rPr>
      </w:pPr>
      <w:r>
        <w:rPr>
          <w:b/>
          <w:noProof/>
        </w:rPr>
        <w:drawing>
          <wp:inline distT="0" distB="0" distL="0" distR="0">
            <wp:extent cx="6623034" cy="6927011"/>
            <wp:effectExtent l="0" t="0" r="698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2845" cy="6926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51C" w:rsidRPr="00CB125B" w:rsidRDefault="00870AB9">
      <w:pPr>
        <w:rPr>
          <w:color w:val="595959" w:themeColor="text1" w:themeTint="A6"/>
          <w:sz w:val="20"/>
          <w:szCs w:val="20"/>
        </w:rPr>
      </w:pPr>
      <w:r w:rsidRPr="00CB125B">
        <w:rPr>
          <w:color w:val="595959" w:themeColor="text1" w:themeTint="A6"/>
          <w:sz w:val="20"/>
          <w:szCs w:val="20"/>
        </w:rPr>
        <w:t>(Mean scores</w:t>
      </w:r>
      <w:r w:rsidR="00CB125B" w:rsidRPr="00CB125B">
        <w:rPr>
          <w:color w:val="595959" w:themeColor="text1" w:themeTint="A6"/>
          <w:sz w:val="20"/>
          <w:szCs w:val="20"/>
        </w:rPr>
        <w:t xml:space="preserve"> reflect the importance that teachers at each level [MS=middle school; HS=high school; PS=post-secondary placed on each skill, on a 5-point scale from 0 to 4.)</w:t>
      </w:r>
    </w:p>
    <w:p w:rsidR="00870AB9" w:rsidRDefault="00870AB9">
      <w:pPr>
        <w:rPr>
          <w:b/>
        </w:rPr>
      </w:pPr>
      <w:r>
        <w:rPr>
          <w:b/>
        </w:rPr>
        <w:br w:type="page"/>
      </w:r>
    </w:p>
    <w:p w:rsidR="00B8251C" w:rsidRDefault="00B8251C">
      <w:pPr>
        <w:contextualSpacing/>
        <w:rPr>
          <w:b/>
        </w:rPr>
      </w:pPr>
      <w:r w:rsidRPr="00514F3F">
        <w:rPr>
          <w:b/>
        </w:rPr>
        <w:lastRenderedPageBreak/>
        <w:t xml:space="preserve">Strategy </w:t>
      </w:r>
      <w:r>
        <w:rPr>
          <w:b/>
        </w:rPr>
        <w:t>3</w:t>
      </w:r>
      <w:r w:rsidRPr="00514F3F">
        <w:rPr>
          <w:b/>
        </w:rPr>
        <w:t xml:space="preserve">: Build knowledge of the </w:t>
      </w:r>
      <w:r>
        <w:rPr>
          <w:b/>
        </w:rPr>
        <w:t>habits of mind</w:t>
      </w:r>
      <w:r w:rsidRPr="00514F3F">
        <w:rPr>
          <w:b/>
        </w:rPr>
        <w:t xml:space="preserve"> </w:t>
      </w:r>
      <w:r>
        <w:rPr>
          <w:b/>
        </w:rPr>
        <w:t xml:space="preserve">that are perceived </w:t>
      </w:r>
      <w:r w:rsidRPr="00514F3F">
        <w:rPr>
          <w:b/>
        </w:rPr>
        <w:t>as most important for college success.</w:t>
      </w:r>
    </w:p>
    <w:p w:rsidR="00B8251C" w:rsidRDefault="00B8251C">
      <w:pPr>
        <w:contextualSpacing/>
        <w:rPr>
          <w:b/>
        </w:rPr>
      </w:pPr>
    </w:p>
    <w:p w:rsidR="00B8251C" w:rsidRDefault="00B8251C">
      <w:r w:rsidRPr="00B8251C">
        <w:t>From CWPA/NCTE/NWP’s “Framework for Success in Post-Secondary Writing”</w:t>
      </w:r>
      <w:r>
        <w:t xml:space="preserve"> (Executive Summary)</w:t>
      </w:r>
      <w:r w:rsidRPr="00B8251C">
        <w:t>:</w:t>
      </w:r>
    </w:p>
    <w:p w:rsidR="00B8251C" w:rsidRPr="00B8251C" w:rsidRDefault="00B8251C" w:rsidP="00B8251C">
      <w:pPr>
        <w:ind w:left="720"/>
        <w:rPr>
          <w:i/>
          <w:sz w:val="20"/>
          <w:szCs w:val="20"/>
        </w:rPr>
      </w:pPr>
      <w:r w:rsidRPr="00B8251C">
        <w:rPr>
          <w:i/>
          <w:sz w:val="20"/>
          <w:szCs w:val="20"/>
        </w:rPr>
        <w:t>The concept of “college readiness” is increasingly important in discussions about students’ prepa</w:t>
      </w:r>
      <w:r w:rsidRPr="00B8251C">
        <w:rPr>
          <w:i/>
          <w:sz w:val="20"/>
          <w:szCs w:val="20"/>
        </w:rPr>
        <w:softHyphen/>
        <w:t xml:space="preserve">ration for postsecondary education. </w:t>
      </w:r>
    </w:p>
    <w:p w:rsidR="00B8251C" w:rsidRPr="00B8251C" w:rsidRDefault="00B8251C" w:rsidP="00B8251C">
      <w:pPr>
        <w:ind w:left="720"/>
        <w:rPr>
          <w:i/>
          <w:sz w:val="20"/>
          <w:szCs w:val="20"/>
        </w:rPr>
      </w:pPr>
      <w:r w:rsidRPr="00B8251C">
        <w:rPr>
          <w:i/>
          <w:sz w:val="20"/>
          <w:szCs w:val="20"/>
        </w:rPr>
        <w:t>This Framework describes the rhetorical and twenty-first-century skills as well as habits of mind and experiences that are critical for college success. Based in current research in writing and writ</w:t>
      </w:r>
      <w:r w:rsidRPr="00B8251C">
        <w:rPr>
          <w:i/>
          <w:sz w:val="20"/>
          <w:szCs w:val="20"/>
        </w:rPr>
        <w:softHyphen/>
        <w:t>ing pedagogy, the Framework was written and reviewed by two- and four-year college and high school writing faculty nationwide and is endorsed by the Council of Writing Program Administra</w:t>
      </w:r>
      <w:r w:rsidRPr="00B8251C">
        <w:rPr>
          <w:i/>
          <w:sz w:val="20"/>
          <w:szCs w:val="20"/>
        </w:rPr>
        <w:softHyphen/>
        <w:t>tors, the National Council of Teachers of English, and the National Writing Project.</w:t>
      </w:r>
    </w:p>
    <w:p w:rsidR="00B8251C" w:rsidRPr="00B8251C" w:rsidRDefault="00B8251C" w:rsidP="00B8251C">
      <w:pPr>
        <w:ind w:left="720"/>
        <w:rPr>
          <w:i/>
          <w:sz w:val="20"/>
          <w:szCs w:val="20"/>
        </w:rPr>
      </w:pPr>
      <w:r w:rsidRPr="00B8251C">
        <w:rPr>
          <w:b/>
          <w:bCs/>
          <w:i/>
          <w:sz w:val="20"/>
          <w:szCs w:val="20"/>
        </w:rPr>
        <w:t xml:space="preserve">Habits of mind </w:t>
      </w:r>
      <w:r w:rsidRPr="00B8251C">
        <w:rPr>
          <w:i/>
          <w:sz w:val="20"/>
          <w:szCs w:val="20"/>
        </w:rPr>
        <w:t>refers to ways of approaching learning that are both intellectual and practical and that will support students’ success in a variety of fields and disciplines. The Framework identifies eight habits of mind essential for success in college writing:</w:t>
      </w:r>
    </w:p>
    <w:p w:rsidR="00B8251C" w:rsidRPr="00B8251C" w:rsidRDefault="00B8251C" w:rsidP="00B8251C">
      <w:pPr>
        <w:pStyle w:val="ListParagraph"/>
        <w:numPr>
          <w:ilvl w:val="0"/>
          <w:numId w:val="23"/>
        </w:numPr>
        <w:ind w:left="1440"/>
        <w:rPr>
          <w:i/>
          <w:sz w:val="20"/>
          <w:szCs w:val="20"/>
        </w:rPr>
      </w:pPr>
      <w:r w:rsidRPr="00B8251C">
        <w:rPr>
          <w:i/>
          <w:sz w:val="20"/>
          <w:szCs w:val="20"/>
        </w:rPr>
        <w:t>Curiosity – the desire to know more about the world.</w:t>
      </w:r>
    </w:p>
    <w:p w:rsidR="00B8251C" w:rsidRPr="00B8251C" w:rsidRDefault="00B8251C" w:rsidP="00B8251C">
      <w:pPr>
        <w:pStyle w:val="ListParagraph"/>
        <w:numPr>
          <w:ilvl w:val="0"/>
          <w:numId w:val="23"/>
        </w:numPr>
        <w:ind w:left="1440"/>
        <w:rPr>
          <w:i/>
          <w:sz w:val="20"/>
          <w:szCs w:val="20"/>
        </w:rPr>
      </w:pPr>
      <w:r w:rsidRPr="00B8251C">
        <w:rPr>
          <w:i/>
          <w:sz w:val="20"/>
          <w:szCs w:val="20"/>
        </w:rPr>
        <w:t>Openness – the willingness to consider new ways of being and thinking in the world.</w:t>
      </w:r>
    </w:p>
    <w:p w:rsidR="00B8251C" w:rsidRPr="00B8251C" w:rsidRDefault="00B8251C" w:rsidP="00B8251C">
      <w:pPr>
        <w:pStyle w:val="ListParagraph"/>
        <w:numPr>
          <w:ilvl w:val="0"/>
          <w:numId w:val="23"/>
        </w:numPr>
        <w:ind w:left="1440"/>
        <w:rPr>
          <w:i/>
          <w:sz w:val="20"/>
          <w:szCs w:val="20"/>
        </w:rPr>
      </w:pPr>
      <w:r w:rsidRPr="00B8251C">
        <w:rPr>
          <w:i/>
          <w:sz w:val="20"/>
          <w:szCs w:val="20"/>
        </w:rPr>
        <w:t>Engagement – a sense of investment and involvement in learning.</w:t>
      </w:r>
    </w:p>
    <w:p w:rsidR="00B8251C" w:rsidRPr="00B8251C" w:rsidRDefault="00B8251C" w:rsidP="00B8251C">
      <w:pPr>
        <w:pStyle w:val="ListParagraph"/>
        <w:numPr>
          <w:ilvl w:val="0"/>
          <w:numId w:val="23"/>
        </w:numPr>
        <w:ind w:left="1440"/>
        <w:rPr>
          <w:i/>
          <w:sz w:val="20"/>
          <w:szCs w:val="20"/>
        </w:rPr>
      </w:pPr>
      <w:r w:rsidRPr="00B8251C">
        <w:rPr>
          <w:i/>
          <w:sz w:val="20"/>
          <w:szCs w:val="20"/>
        </w:rPr>
        <w:t>Creativity – the ability to use novel approaches for generating, investigating, and representing ideas.</w:t>
      </w:r>
    </w:p>
    <w:p w:rsidR="00B8251C" w:rsidRPr="00B8251C" w:rsidRDefault="00B8251C" w:rsidP="00B8251C">
      <w:pPr>
        <w:pStyle w:val="ListParagraph"/>
        <w:numPr>
          <w:ilvl w:val="0"/>
          <w:numId w:val="23"/>
        </w:numPr>
        <w:ind w:left="1440"/>
        <w:rPr>
          <w:i/>
          <w:sz w:val="20"/>
          <w:szCs w:val="20"/>
        </w:rPr>
      </w:pPr>
      <w:r w:rsidRPr="00B8251C">
        <w:rPr>
          <w:i/>
          <w:sz w:val="20"/>
          <w:szCs w:val="20"/>
        </w:rPr>
        <w:t>Persistence – the ability to sustain interest in and attention to short- and long-term projects.</w:t>
      </w:r>
    </w:p>
    <w:p w:rsidR="00B8251C" w:rsidRPr="00B8251C" w:rsidRDefault="00B8251C" w:rsidP="00B8251C">
      <w:pPr>
        <w:pStyle w:val="ListParagraph"/>
        <w:numPr>
          <w:ilvl w:val="0"/>
          <w:numId w:val="23"/>
        </w:numPr>
        <w:ind w:left="1440"/>
        <w:rPr>
          <w:i/>
          <w:sz w:val="20"/>
          <w:szCs w:val="20"/>
        </w:rPr>
      </w:pPr>
      <w:r w:rsidRPr="00B8251C">
        <w:rPr>
          <w:i/>
          <w:sz w:val="20"/>
          <w:szCs w:val="20"/>
        </w:rPr>
        <w:t>Responsibility – the ability to take ownership of one’s actions and understand the consequences of those actions for oneself and others.</w:t>
      </w:r>
    </w:p>
    <w:p w:rsidR="00B8251C" w:rsidRPr="00B8251C" w:rsidRDefault="00B8251C" w:rsidP="00B8251C">
      <w:pPr>
        <w:pStyle w:val="ListParagraph"/>
        <w:numPr>
          <w:ilvl w:val="0"/>
          <w:numId w:val="23"/>
        </w:numPr>
        <w:ind w:left="1440"/>
        <w:rPr>
          <w:i/>
          <w:sz w:val="20"/>
          <w:szCs w:val="20"/>
        </w:rPr>
      </w:pPr>
      <w:r w:rsidRPr="00B8251C">
        <w:rPr>
          <w:i/>
          <w:sz w:val="20"/>
          <w:szCs w:val="20"/>
        </w:rPr>
        <w:t xml:space="preserve">Flexibility – the ability to adapt to situations, expectations, or demands. </w:t>
      </w:r>
    </w:p>
    <w:p w:rsidR="00B8251C" w:rsidRPr="00B8251C" w:rsidRDefault="00B8251C" w:rsidP="00B8251C">
      <w:pPr>
        <w:pStyle w:val="ListParagraph"/>
        <w:numPr>
          <w:ilvl w:val="0"/>
          <w:numId w:val="23"/>
        </w:numPr>
        <w:ind w:left="1440"/>
        <w:rPr>
          <w:i/>
          <w:sz w:val="20"/>
          <w:szCs w:val="20"/>
        </w:rPr>
      </w:pPr>
      <w:r w:rsidRPr="00B8251C">
        <w:rPr>
          <w:i/>
          <w:sz w:val="20"/>
          <w:szCs w:val="20"/>
        </w:rPr>
        <w:t>Metacognition – the ability to reflect on one’s own thinking as well as on the individual and cultural processes used to structure knowledge.</w:t>
      </w:r>
    </w:p>
    <w:p w:rsidR="00B8251C" w:rsidRPr="00B8251C" w:rsidRDefault="00B8251C" w:rsidP="00B8251C">
      <w:pPr>
        <w:ind w:left="720"/>
        <w:rPr>
          <w:i/>
          <w:sz w:val="20"/>
          <w:szCs w:val="20"/>
        </w:rPr>
      </w:pPr>
      <w:r w:rsidRPr="00B8251C">
        <w:rPr>
          <w:i/>
          <w:sz w:val="20"/>
          <w:szCs w:val="20"/>
        </w:rPr>
        <w:t xml:space="preserve">The Framework then explains how teachers can foster these habits of mind through </w:t>
      </w:r>
      <w:r w:rsidRPr="00B8251C">
        <w:rPr>
          <w:b/>
          <w:bCs/>
          <w:i/>
          <w:sz w:val="20"/>
          <w:szCs w:val="20"/>
        </w:rPr>
        <w:t xml:space="preserve">writing, reading, and critical analysis </w:t>
      </w:r>
      <w:r w:rsidRPr="00B8251C">
        <w:rPr>
          <w:i/>
          <w:sz w:val="20"/>
          <w:szCs w:val="20"/>
        </w:rPr>
        <w:t>experiences. These experiences aim to develop students’</w:t>
      </w:r>
    </w:p>
    <w:p w:rsidR="00B8251C" w:rsidRPr="00B8251C" w:rsidRDefault="00B8251C" w:rsidP="00B8251C">
      <w:pPr>
        <w:pStyle w:val="ListParagraph"/>
        <w:numPr>
          <w:ilvl w:val="0"/>
          <w:numId w:val="20"/>
        </w:numPr>
        <w:ind w:left="1440"/>
        <w:rPr>
          <w:i/>
          <w:sz w:val="20"/>
          <w:szCs w:val="20"/>
        </w:rPr>
      </w:pPr>
      <w:r w:rsidRPr="00B8251C">
        <w:rPr>
          <w:i/>
          <w:sz w:val="20"/>
          <w:szCs w:val="20"/>
        </w:rPr>
        <w:t>Rhetorical knowledge – the ability to analyze and act on understandings of audiences, purposes, and contexts in creating and comprehending texts;</w:t>
      </w:r>
    </w:p>
    <w:p w:rsidR="00B8251C" w:rsidRPr="00B8251C" w:rsidRDefault="00B8251C" w:rsidP="00B8251C">
      <w:pPr>
        <w:pStyle w:val="ListParagraph"/>
        <w:numPr>
          <w:ilvl w:val="0"/>
          <w:numId w:val="20"/>
        </w:numPr>
        <w:ind w:left="1440"/>
        <w:rPr>
          <w:i/>
          <w:sz w:val="20"/>
          <w:szCs w:val="20"/>
        </w:rPr>
      </w:pPr>
      <w:r w:rsidRPr="00B8251C">
        <w:rPr>
          <w:i/>
          <w:sz w:val="20"/>
          <w:szCs w:val="20"/>
        </w:rPr>
        <w:t>Critical thinking – the ability to analyze a situation or text and make thoughtful decisions based on that analysis, through writing, reading, and research;</w:t>
      </w:r>
    </w:p>
    <w:p w:rsidR="00B8251C" w:rsidRPr="00B8251C" w:rsidRDefault="00B8251C" w:rsidP="00B8251C">
      <w:pPr>
        <w:pStyle w:val="ListParagraph"/>
        <w:numPr>
          <w:ilvl w:val="0"/>
          <w:numId w:val="20"/>
        </w:numPr>
        <w:ind w:left="1440"/>
        <w:rPr>
          <w:i/>
          <w:sz w:val="20"/>
          <w:szCs w:val="20"/>
        </w:rPr>
      </w:pPr>
      <w:r w:rsidRPr="00B8251C">
        <w:rPr>
          <w:i/>
          <w:sz w:val="20"/>
          <w:szCs w:val="20"/>
        </w:rPr>
        <w:t>Writing processes – multiple strategies to approach and undertake writing and research;</w:t>
      </w:r>
    </w:p>
    <w:p w:rsidR="00B8251C" w:rsidRPr="00B8251C" w:rsidRDefault="00B8251C" w:rsidP="00B8251C">
      <w:pPr>
        <w:pStyle w:val="ListParagraph"/>
        <w:numPr>
          <w:ilvl w:val="0"/>
          <w:numId w:val="20"/>
        </w:numPr>
        <w:ind w:left="1440"/>
        <w:rPr>
          <w:i/>
          <w:sz w:val="20"/>
          <w:szCs w:val="20"/>
        </w:rPr>
      </w:pPr>
      <w:r w:rsidRPr="00B8251C">
        <w:rPr>
          <w:i/>
          <w:sz w:val="20"/>
          <w:szCs w:val="20"/>
        </w:rPr>
        <w:t>Knowledge of conventions – the formal and informal guidelines that define what is considered to be correct and appropriate, or incorrect and inappropriate, in a piece of writing; and</w:t>
      </w:r>
    </w:p>
    <w:p w:rsidR="00CB5F8D" w:rsidRDefault="00B8251C" w:rsidP="00B8251C">
      <w:pPr>
        <w:pStyle w:val="ListParagraph"/>
        <w:numPr>
          <w:ilvl w:val="0"/>
          <w:numId w:val="20"/>
        </w:numPr>
        <w:ind w:left="1440"/>
      </w:pPr>
      <w:r w:rsidRPr="00B8251C">
        <w:rPr>
          <w:i/>
          <w:sz w:val="20"/>
          <w:szCs w:val="20"/>
        </w:rPr>
        <w:t>Ability to compose in multiple environments – from traditional pen and paper to electronic technologies.</w:t>
      </w:r>
      <w:r w:rsidRPr="00B8251C">
        <w:t xml:space="preserve"> </w:t>
      </w:r>
    </w:p>
    <w:p w:rsidR="00CB5F8D" w:rsidRDefault="00CB5F8D">
      <w:r>
        <w:br w:type="page"/>
      </w:r>
    </w:p>
    <w:p w:rsidR="00CB5F8D" w:rsidRPr="00CB5F8D" w:rsidRDefault="00CB5F8D" w:rsidP="00CB5F8D">
      <w:pPr>
        <w:rPr>
          <w:b/>
        </w:rPr>
      </w:pPr>
      <w:r w:rsidRPr="00CB5F8D">
        <w:rPr>
          <w:b/>
        </w:rPr>
        <w:lastRenderedPageBreak/>
        <w:t>Strategy 4: Build an understanding of pedagogies associated with “teaching for transfer”</w:t>
      </w:r>
    </w:p>
    <w:p w:rsidR="00CB5F8D" w:rsidRPr="00CB5F8D" w:rsidRDefault="00CB5F8D" w:rsidP="00CB5F8D">
      <w:pPr>
        <w:suppressAutoHyphens/>
        <w:autoSpaceDE w:val="0"/>
        <w:autoSpaceDN w:val="0"/>
        <w:spacing w:after="0" w:line="240" w:lineRule="auto"/>
        <w:jc w:val="center"/>
        <w:rPr>
          <w:rFonts w:eastAsiaTheme="minorEastAsia" w:cs="Calibri"/>
          <w:spacing w:val="-2"/>
        </w:rPr>
      </w:pPr>
      <w:r w:rsidRPr="00CB5F8D">
        <w:rPr>
          <w:rFonts w:eastAsiaTheme="minorEastAsia" w:cs="Calibri"/>
          <w:spacing w:val="-5"/>
        </w:rPr>
        <w:t>Ten Tools for Teaching for Transfer</w:t>
      </w:r>
      <w:r w:rsidR="0082243B" w:rsidRPr="00CB5F8D">
        <w:rPr>
          <w:rFonts w:eastAsiaTheme="minorEastAsia" w:cs="Calibri"/>
          <w:spacing w:val="-2"/>
        </w:rPr>
        <w:fldChar w:fldCharType="begin"/>
      </w:r>
      <w:r w:rsidRPr="00CB5F8D">
        <w:rPr>
          <w:rFonts w:eastAsiaTheme="minorEastAsia" w:cs="Calibri"/>
          <w:spacing w:val="-2"/>
        </w:rPr>
        <w:instrText xml:space="preserve">PRIVATE </w:instrText>
      </w:r>
      <w:r w:rsidR="0082243B" w:rsidRPr="00CB5F8D">
        <w:rPr>
          <w:rFonts w:eastAsiaTheme="minorEastAsia" w:cs="Calibri"/>
          <w:spacing w:val="-2"/>
        </w:rPr>
        <w:fldChar w:fldCharType="end"/>
      </w:r>
    </w:p>
    <w:p w:rsidR="00CB5F8D" w:rsidRPr="00CB5F8D" w:rsidRDefault="00CB5F8D" w:rsidP="00CB5F8D">
      <w:pPr>
        <w:suppressAutoHyphens/>
        <w:autoSpaceDE w:val="0"/>
        <w:autoSpaceDN w:val="0"/>
        <w:spacing w:after="0" w:line="240" w:lineRule="auto"/>
        <w:jc w:val="both"/>
        <w:rPr>
          <w:rFonts w:ascii="Helvetica" w:eastAsiaTheme="minorEastAsia" w:hAnsi="Helvetica" w:cs="Helvetica"/>
          <w:spacing w:val="-2"/>
          <w:sz w:val="20"/>
          <w:szCs w:val="20"/>
        </w:rPr>
      </w:pPr>
    </w:p>
    <w:tbl>
      <w:tblPr>
        <w:tblW w:w="0" w:type="auto"/>
        <w:jc w:val="right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80"/>
        <w:gridCol w:w="4860"/>
      </w:tblGrid>
      <w:tr w:rsidR="00CB5F8D" w:rsidRPr="00CB5F8D" w:rsidTr="00CC0CA8">
        <w:trPr>
          <w:jc w:val="right"/>
        </w:trPr>
        <w:tc>
          <w:tcPr>
            <w:tcW w:w="468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CB5F8D" w:rsidRPr="00CB5F8D" w:rsidRDefault="0082243B" w:rsidP="00CB5F8D">
            <w:pPr>
              <w:tabs>
                <w:tab w:val="left" w:pos="-720"/>
              </w:tabs>
              <w:suppressAutoHyphens/>
              <w:autoSpaceDE w:val="0"/>
              <w:autoSpaceDN w:val="0"/>
              <w:spacing w:before="90" w:after="54" w:line="240" w:lineRule="auto"/>
              <w:ind w:left="240" w:hanging="240"/>
              <w:rPr>
                <w:rFonts w:ascii="Helvetica" w:eastAsiaTheme="minorEastAsia" w:hAnsi="Helvetica" w:cs="Helvetica"/>
                <w:spacing w:val="-2"/>
                <w:sz w:val="20"/>
                <w:szCs w:val="20"/>
              </w:rPr>
            </w:pPr>
            <w:r w:rsidRPr="00CB5F8D">
              <w:rPr>
                <w:rFonts w:ascii="Helvetica" w:eastAsiaTheme="minorEastAsia" w:hAnsi="Helvetica" w:cs="Helvetica"/>
                <w:spacing w:val="-2"/>
                <w:sz w:val="20"/>
                <w:szCs w:val="20"/>
              </w:rPr>
              <w:fldChar w:fldCharType="begin"/>
            </w:r>
            <w:r w:rsidR="00CB5F8D" w:rsidRPr="00CB5F8D">
              <w:rPr>
                <w:rFonts w:ascii="Helvetica" w:eastAsiaTheme="minorEastAsia" w:hAnsi="Helvetica" w:cs="Helvetica"/>
                <w:spacing w:val="-2"/>
                <w:sz w:val="20"/>
                <w:szCs w:val="20"/>
              </w:rPr>
              <w:instrText xml:space="preserve">PRIVATE </w:instrText>
            </w:r>
            <w:r w:rsidRPr="00CB5F8D">
              <w:rPr>
                <w:rFonts w:ascii="Helvetica" w:eastAsiaTheme="minorEastAsia" w:hAnsi="Helvetica" w:cs="Helvetica"/>
                <w:spacing w:val="-2"/>
                <w:sz w:val="20"/>
                <w:szCs w:val="20"/>
              </w:rPr>
              <w:fldChar w:fldCharType="end"/>
            </w:r>
            <w:r w:rsidR="00CB5F8D" w:rsidRPr="00CB5F8D">
              <w:rPr>
                <w:rFonts w:ascii="Helvetica" w:eastAsiaTheme="minorEastAsia" w:hAnsi="Helvetica" w:cs="Helvetica"/>
                <w:b/>
                <w:bCs/>
                <w:spacing w:val="-3"/>
                <w:sz w:val="20"/>
                <w:szCs w:val="20"/>
              </w:rPr>
              <w:t>Hugging</w:t>
            </w:r>
            <w:r w:rsidR="00CB5F8D">
              <w:rPr>
                <w:rFonts w:ascii="Helvetica" w:eastAsiaTheme="minorEastAsia" w:hAnsi="Helvetica" w:cs="Helvetica"/>
                <w:b/>
                <w:bCs/>
                <w:spacing w:val="-3"/>
                <w:sz w:val="20"/>
                <w:szCs w:val="20"/>
              </w:rPr>
              <w:t>/Low-Road Transfer</w:t>
            </w:r>
            <w:r w:rsidR="00CB5F8D" w:rsidRPr="00CB5F8D">
              <w:rPr>
                <w:rFonts w:ascii="Helvetica" w:eastAsiaTheme="minorEastAsia" w:hAnsi="Helvetica" w:cs="Helvetica"/>
                <w:b/>
                <w:bCs/>
                <w:spacing w:val="-3"/>
                <w:sz w:val="20"/>
                <w:szCs w:val="20"/>
              </w:rPr>
              <w:t>:</w:t>
            </w:r>
            <w:r w:rsidR="00CB5F8D" w:rsidRPr="00CB5F8D">
              <w:rPr>
                <w:rFonts w:ascii="Helvetica" w:eastAsiaTheme="minorEastAsia" w:hAnsi="Helvetica" w:cs="Helvetica"/>
                <w:spacing w:val="-2"/>
                <w:sz w:val="20"/>
                <w:szCs w:val="20"/>
              </w:rPr>
              <w:t xml:space="preserve"> Making the learning experience more like the ultimate applications. Students do and feel something more like the intended applications.</w:t>
            </w:r>
          </w:p>
        </w:tc>
        <w:tc>
          <w:tcPr>
            <w:tcW w:w="4860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CB5F8D" w:rsidRPr="00CB5F8D" w:rsidRDefault="00CB5F8D" w:rsidP="00CB5F8D">
            <w:pPr>
              <w:tabs>
                <w:tab w:val="left" w:pos="-720"/>
              </w:tabs>
              <w:suppressAutoHyphens/>
              <w:autoSpaceDE w:val="0"/>
              <w:autoSpaceDN w:val="0"/>
              <w:spacing w:before="90" w:after="54" w:line="240" w:lineRule="auto"/>
              <w:ind w:left="240" w:hanging="240"/>
              <w:rPr>
                <w:rFonts w:ascii="Helvetica" w:eastAsiaTheme="minorEastAsia" w:hAnsi="Helvetica" w:cs="Helvetica"/>
                <w:spacing w:val="-2"/>
                <w:sz w:val="20"/>
                <w:szCs w:val="20"/>
              </w:rPr>
            </w:pPr>
            <w:r w:rsidRPr="00CB5F8D">
              <w:rPr>
                <w:rFonts w:ascii="Helvetica" w:eastAsiaTheme="minorEastAsia" w:hAnsi="Helvetica" w:cs="Helvetica"/>
                <w:b/>
                <w:bCs/>
                <w:spacing w:val="-3"/>
                <w:sz w:val="20"/>
                <w:szCs w:val="20"/>
              </w:rPr>
              <w:t>Bridging</w:t>
            </w:r>
            <w:r>
              <w:rPr>
                <w:rFonts w:ascii="Helvetica" w:eastAsiaTheme="minorEastAsia" w:hAnsi="Helvetica" w:cs="Helvetica"/>
                <w:b/>
                <w:bCs/>
                <w:spacing w:val="-3"/>
                <w:sz w:val="20"/>
                <w:szCs w:val="20"/>
              </w:rPr>
              <w:t>/High-Road Transfer</w:t>
            </w:r>
            <w:r w:rsidRPr="00CB5F8D">
              <w:rPr>
                <w:rFonts w:ascii="Helvetica" w:eastAsiaTheme="minorEastAsia" w:hAnsi="Helvetica" w:cs="Helvetica"/>
                <w:b/>
                <w:bCs/>
                <w:spacing w:val="-3"/>
                <w:sz w:val="20"/>
                <w:szCs w:val="20"/>
              </w:rPr>
              <w:t>:</w:t>
            </w:r>
            <w:r w:rsidRPr="00CB5F8D">
              <w:rPr>
                <w:rFonts w:ascii="Helvetica" w:eastAsiaTheme="minorEastAsia" w:hAnsi="Helvetica" w:cs="Helvetica"/>
                <w:spacing w:val="-2"/>
                <w:sz w:val="20"/>
                <w:szCs w:val="20"/>
              </w:rPr>
              <w:t xml:space="preserve"> Making conceptual connections between what's learned and other applications. This is more cerebral, less experiential. Students generalize and reflect.</w:t>
            </w:r>
          </w:p>
        </w:tc>
      </w:tr>
      <w:tr w:rsidR="00CB5F8D" w:rsidRPr="00CB5F8D" w:rsidTr="00CC0CA8">
        <w:trPr>
          <w:jc w:val="right"/>
        </w:trPr>
        <w:tc>
          <w:tcPr>
            <w:tcW w:w="468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CB5F8D" w:rsidRPr="00CB5F8D" w:rsidRDefault="00CB5F8D" w:rsidP="00CB5F8D">
            <w:pPr>
              <w:tabs>
                <w:tab w:val="left" w:pos="-720"/>
              </w:tabs>
              <w:suppressAutoHyphens/>
              <w:autoSpaceDE w:val="0"/>
              <w:autoSpaceDN w:val="0"/>
              <w:spacing w:before="90" w:after="54" w:line="240" w:lineRule="auto"/>
              <w:ind w:left="240" w:hanging="240"/>
              <w:rPr>
                <w:rFonts w:ascii="Helvetica" w:eastAsiaTheme="minorEastAsia" w:hAnsi="Helvetica" w:cs="Helvetica"/>
                <w:spacing w:val="-2"/>
                <w:sz w:val="20"/>
                <w:szCs w:val="20"/>
              </w:rPr>
            </w:pPr>
            <w:r w:rsidRPr="00CB5F8D">
              <w:rPr>
                <w:rFonts w:ascii="Helvetica" w:eastAsiaTheme="minorEastAsia" w:hAnsi="Helvetica" w:cs="Helvetica"/>
                <w:spacing w:val="-2"/>
                <w:sz w:val="20"/>
                <w:szCs w:val="20"/>
              </w:rPr>
              <w:t xml:space="preserve">1. </w:t>
            </w:r>
            <w:r w:rsidRPr="00CB5F8D">
              <w:rPr>
                <w:rFonts w:ascii="Helvetica" w:eastAsiaTheme="minorEastAsia" w:hAnsi="Helvetica" w:cs="Helvetica"/>
                <w:b/>
                <w:bCs/>
                <w:spacing w:val="-2"/>
                <w:sz w:val="20"/>
                <w:szCs w:val="20"/>
              </w:rPr>
              <w:t>Setting expectations:</w:t>
            </w:r>
            <w:r w:rsidRPr="00CB5F8D">
              <w:rPr>
                <w:rFonts w:ascii="Helvetica" w:eastAsiaTheme="minorEastAsia" w:hAnsi="Helvetica" w:cs="Helvetica"/>
                <w:spacing w:val="-2"/>
                <w:sz w:val="20"/>
                <w:szCs w:val="20"/>
              </w:rPr>
              <w:t xml:space="preserve"> Simply alert learners to occasions where they can apply what they are learning directly, without transformation or adjustment. </w:t>
            </w:r>
            <w:r w:rsidRPr="00CB5F8D">
              <w:rPr>
                <w:rFonts w:ascii="Helvetica" w:eastAsiaTheme="minorEastAsia" w:hAnsi="Helvetica" w:cs="Helvetica"/>
                <w:i/>
                <w:iCs/>
                <w:spacing w:val="-2"/>
                <w:sz w:val="20"/>
                <w:szCs w:val="20"/>
              </w:rPr>
              <w:t>Example:</w:t>
            </w:r>
            <w:r w:rsidRPr="00CB5F8D">
              <w:rPr>
                <w:rFonts w:ascii="Helvetica" w:eastAsiaTheme="minorEastAsia" w:hAnsi="Helvetica" w:cs="Helvetica"/>
                <w:spacing w:val="-2"/>
                <w:sz w:val="20"/>
                <w:szCs w:val="20"/>
              </w:rPr>
              <w:t xml:space="preserve"> "Remember, you'll be asked to use these pronouns correctly in the essay due at the end of the week."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CB5F8D" w:rsidRPr="00CB5F8D" w:rsidRDefault="00CB5F8D" w:rsidP="00CB5F8D">
            <w:pPr>
              <w:tabs>
                <w:tab w:val="left" w:pos="-720"/>
              </w:tabs>
              <w:suppressAutoHyphens/>
              <w:autoSpaceDE w:val="0"/>
              <w:autoSpaceDN w:val="0"/>
              <w:spacing w:before="90" w:after="54" w:line="240" w:lineRule="auto"/>
              <w:ind w:left="240" w:hanging="240"/>
              <w:rPr>
                <w:rFonts w:ascii="Helvetica" w:eastAsiaTheme="minorEastAsia" w:hAnsi="Helvetica" w:cs="Helvetica"/>
                <w:spacing w:val="-2"/>
                <w:sz w:val="20"/>
                <w:szCs w:val="20"/>
              </w:rPr>
            </w:pPr>
            <w:r w:rsidRPr="00CB5F8D">
              <w:rPr>
                <w:rFonts w:ascii="Helvetica" w:eastAsiaTheme="minorEastAsia" w:hAnsi="Helvetica" w:cs="Helvetica"/>
                <w:spacing w:val="-2"/>
                <w:sz w:val="20"/>
                <w:szCs w:val="20"/>
              </w:rPr>
              <w:t xml:space="preserve">6. </w:t>
            </w:r>
            <w:r w:rsidRPr="00CB5F8D">
              <w:rPr>
                <w:rFonts w:ascii="Helvetica" w:eastAsiaTheme="minorEastAsia" w:hAnsi="Helvetica" w:cs="Helvetica"/>
                <w:b/>
                <w:bCs/>
                <w:spacing w:val="-2"/>
                <w:sz w:val="20"/>
                <w:szCs w:val="20"/>
              </w:rPr>
              <w:t>Anticipating applications:</w:t>
            </w:r>
            <w:r w:rsidRPr="00CB5F8D">
              <w:rPr>
                <w:rFonts w:ascii="Helvetica" w:eastAsiaTheme="minorEastAsia" w:hAnsi="Helvetica" w:cs="Helvetica"/>
                <w:spacing w:val="-2"/>
                <w:sz w:val="20"/>
                <w:szCs w:val="20"/>
              </w:rPr>
              <w:t xml:space="preserve"> Ask students to predict possible applications remote from the learning context. </w:t>
            </w:r>
            <w:r w:rsidRPr="00CB5F8D">
              <w:rPr>
                <w:rFonts w:ascii="Helvetica" w:eastAsiaTheme="minorEastAsia" w:hAnsi="Helvetica" w:cs="Helvetica"/>
                <w:i/>
                <w:iCs/>
                <w:spacing w:val="-2"/>
                <w:sz w:val="20"/>
                <w:szCs w:val="20"/>
              </w:rPr>
              <w:t>Example:</w:t>
            </w:r>
            <w:r w:rsidRPr="00CB5F8D">
              <w:rPr>
                <w:rFonts w:ascii="Helvetica" w:eastAsiaTheme="minorEastAsia" w:hAnsi="Helvetica" w:cs="Helvetica"/>
                <w:spacing w:val="-2"/>
                <w:sz w:val="20"/>
                <w:szCs w:val="20"/>
              </w:rPr>
              <w:t xml:space="preserve"> After students have practiced a thinking skill or other skill, ask, "Where might you use this or adapt it? Let's brainstorm. Be creative." List the ideas and discuss some.</w:t>
            </w:r>
          </w:p>
        </w:tc>
      </w:tr>
      <w:tr w:rsidR="00CB5F8D" w:rsidRPr="00CB5F8D" w:rsidTr="00CC0CA8">
        <w:trPr>
          <w:jc w:val="right"/>
        </w:trPr>
        <w:tc>
          <w:tcPr>
            <w:tcW w:w="468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CB5F8D" w:rsidRPr="00CB5F8D" w:rsidRDefault="00CB5F8D" w:rsidP="00CB5F8D">
            <w:pPr>
              <w:tabs>
                <w:tab w:val="left" w:pos="-720"/>
              </w:tabs>
              <w:suppressAutoHyphens/>
              <w:autoSpaceDE w:val="0"/>
              <w:autoSpaceDN w:val="0"/>
              <w:spacing w:before="90" w:after="54" w:line="240" w:lineRule="auto"/>
              <w:ind w:left="240" w:hanging="240"/>
              <w:rPr>
                <w:rFonts w:ascii="Helvetica" w:eastAsiaTheme="minorEastAsia" w:hAnsi="Helvetica" w:cs="Helvetica"/>
                <w:spacing w:val="-2"/>
                <w:sz w:val="20"/>
                <w:szCs w:val="20"/>
              </w:rPr>
            </w:pPr>
            <w:r w:rsidRPr="00CB5F8D">
              <w:rPr>
                <w:rFonts w:ascii="Helvetica" w:eastAsiaTheme="minorEastAsia" w:hAnsi="Helvetica" w:cs="Helvetica"/>
                <w:spacing w:val="-2"/>
                <w:sz w:val="20"/>
                <w:szCs w:val="20"/>
              </w:rPr>
              <w:t xml:space="preserve">2. </w:t>
            </w:r>
            <w:r w:rsidRPr="00CB5F8D">
              <w:rPr>
                <w:rFonts w:ascii="Helvetica" w:eastAsiaTheme="minorEastAsia" w:hAnsi="Helvetica" w:cs="Helvetica"/>
                <w:b/>
                <w:bCs/>
                <w:spacing w:val="-2"/>
                <w:sz w:val="20"/>
                <w:szCs w:val="20"/>
              </w:rPr>
              <w:t>Matching:</w:t>
            </w:r>
            <w:r w:rsidRPr="00CB5F8D">
              <w:rPr>
                <w:rFonts w:ascii="Helvetica" w:eastAsiaTheme="minorEastAsia" w:hAnsi="Helvetica" w:cs="Helvetica"/>
                <w:spacing w:val="-2"/>
                <w:sz w:val="20"/>
                <w:szCs w:val="20"/>
              </w:rPr>
              <w:t xml:space="preserve"> Adjust the learning to make it almost the same experience as the ultimate applications. </w:t>
            </w:r>
            <w:r w:rsidRPr="00CB5F8D">
              <w:rPr>
                <w:rFonts w:ascii="Helvetica" w:eastAsiaTheme="minorEastAsia" w:hAnsi="Helvetica" w:cs="Helvetica"/>
                <w:i/>
                <w:iCs/>
                <w:spacing w:val="-2"/>
                <w:sz w:val="20"/>
                <w:szCs w:val="20"/>
              </w:rPr>
              <w:t>Example:</w:t>
            </w:r>
            <w:r w:rsidRPr="00CB5F8D">
              <w:rPr>
                <w:rFonts w:ascii="Helvetica" w:eastAsiaTheme="minorEastAsia" w:hAnsi="Helvetica" w:cs="Helvetica"/>
                <w:spacing w:val="-2"/>
                <w:sz w:val="20"/>
                <w:szCs w:val="20"/>
              </w:rPr>
              <w:t xml:space="preserve"> In sports, play practice games. In drama, full costume rehearsals.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CB5F8D" w:rsidRPr="00CB5F8D" w:rsidRDefault="00CB5F8D" w:rsidP="00CB5F8D">
            <w:pPr>
              <w:tabs>
                <w:tab w:val="left" w:pos="-720"/>
              </w:tabs>
              <w:suppressAutoHyphens/>
              <w:autoSpaceDE w:val="0"/>
              <w:autoSpaceDN w:val="0"/>
              <w:spacing w:before="90" w:after="54" w:line="240" w:lineRule="auto"/>
              <w:ind w:left="240" w:hanging="240"/>
              <w:rPr>
                <w:rFonts w:ascii="Helvetica" w:eastAsiaTheme="minorEastAsia" w:hAnsi="Helvetica" w:cs="Helvetica"/>
                <w:spacing w:val="-2"/>
                <w:sz w:val="20"/>
                <w:szCs w:val="20"/>
              </w:rPr>
            </w:pPr>
            <w:r w:rsidRPr="00CB5F8D">
              <w:rPr>
                <w:rFonts w:ascii="Helvetica" w:eastAsiaTheme="minorEastAsia" w:hAnsi="Helvetica" w:cs="Helvetica"/>
                <w:spacing w:val="-2"/>
                <w:sz w:val="20"/>
                <w:szCs w:val="20"/>
              </w:rPr>
              <w:t xml:space="preserve">7. </w:t>
            </w:r>
            <w:r w:rsidRPr="00CB5F8D">
              <w:rPr>
                <w:rFonts w:ascii="Helvetica" w:eastAsiaTheme="minorEastAsia" w:hAnsi="Helvetica" w:cs="Helvetica"/>
                <w:b/>
                <w:bCs/>
                <w:spacing w:val="-2"/>
                <w:sz w:val="20"/>
                <w:szCs w:val="20"/>
              </w:rPr>
              <w:t>Generalizing concepts:</w:t>
            </w:r>
            <w:r w:rsidRPr="00CB5F8D">
              <w:rPr>
                <w:rFonts w:ascii="Helvetica" w:eastAsiaTheme="minorEastAsia" w:hAnsi="Helvetica" w:cs="Helvetica"/>
                <w:spacing w:val="-2"/>
                <w:sz w:val="20"/>
                <w:szCs w:val="20"/>
              </w:rPr>
              <w:t xml:space="preserve"> Ask students to generalize from their experience to produce widely applicable principles, rules, and ideas. </w:t>
            </w:r>
            <w:r w:rsidRPr="00CB5F8D">
              <w:rPr>
                <w:rFonts w:ascii="Helvetica" w:eastAsiaTheme="minorEastAsia" w:hAnsi="Helvetica" w:cs="Helvetica"/>
                <w:i/>
                <w:iCs/>
                <w:spacing w:val="-2"/>
                <w:sz w:val="20"/>
                <w:szCs w:val="20"/>
              </w:rPr>
              <w:t>Example:</w:t>
            </w:r>
            <w:r w:rsidRPr="00CB5F8D">
              <w:rPr>
                <w:rFonts w:ascii="Helvetica" w:eastAsiaTheme="minorEastAsia" w:hAnsi="Helvetica" w:cs="Helvetica"/>
                <w:spacing w:val="-2"/>
                <w:sz w:val="20"/>
                <w:szCs w:val="20"/>
              </w:rPr>
              <w:t xml:space="preserve"> After studying the discovery of radium, ask, "What big generalizations about scientific discovery does the discovery of radium suggest? Can you support your generalizations by other evidence you know of?"</w:t>
            </w:r>
          </w:p>
        </w:tc>
      </w:tr>
      <w:tr w:rsidR="00CB5F8D" w:rsidRPr="00CB5F8D" w:rsidTr="00CC0CA8">
        <w:trPr>
          <w:jc w:val="right"/>
        </w:trPr>
        <w:tc>
          <w:tcPr>
            <w:tcW w:w="468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CB5F8D" w:rsidRPr="00CB5F8D" w:rsidRDefault="00CB5F8D" w:rsidP="00CB5F8D">
            <w:pPr>
              <w:tabs>
                <w:tab w:val="left" w:pos="-720"/>
              </w:tabs>
              <w:suppressAutoHyphens/>
              <w:autoSpaceDE w:val="0"/>
              <w:autoSpaceDN w:val="0"/>
              <w:spacing w:before="90" w:after="54" w:line="240" w:lineRule="auto"/>
              <w:ind w:left="240" w:hanging="240"/>
              <w:rPr>
                <w:rFonts w:ascii="Helvetica" w:eastAsiaTheme="minorEastAsia" w:hAnsi="Helvetica" w:cs="Helvetica"/>
                <w:spacing w:val="-2"/>
                <w:sz w:val="20"/>
                <w:szCs w:val="20"/>
              </w:rPr>
            </w:pPr>
            <w:r w:rsidRPr="00CB5F8D">
              <w:rPr>
                <w:rFonts w:ascii="Helvetica" w:eastAsiaTheme="minorEastAsia" w:hAnsi="Helvetica" w:cs="Helvetica"/>
                <w:spacing w:val="-2"/>
                <w:sz w:val="20"/>
                <w:szCs w:val="20"/>
              </w:rPr>
              <w:t xml:space="preserve">3. </w:t>
            </w:r>
            <w:r w:rsidRPr="00CB5F8D">
              <w:rPr>
                <w:rFonts w:ascii="Helvetica" w:eastAsiaTheme="minorEastAsia" w:hAnsi="Helvetica" w:cs="Helvetica"/>
                <w:b/>
                <w:bCs/>
                <w:spacing w:val="-2"/>
                <w:sz w:val="20"/>
                <w:szCs w:val="20"/>
              </w:rPr>
              <w:t>Simulating:</w:t>
            </w:r>
            <w:r w:rsidRPr="00CB5F8D">
              <w:rPr>
                <w:rFonts w:ascii="Helvetica" w:eastAsiaTheme="minorEastAsia" w:hAnsi="Helvetica" w:cs="Helvetica"/>
                <w:spacing w:val="-2"/>
                <w:sz w:val="20"/>
                <w:szCs w:val="20"/>
              </w:rPr>
              <w:t xml:space="preserve"> Use simulation, role playing, acting out, to approximate the ultimate applications. </w:t>
            </w:r>
            <w:r w:rsidRPr="00CB5F8D">
              <w:rPr>
                <w:rFonts w:ascii="Helvetica" w:eastAsiaTheme="minorEastAsia" w:hAnsi="Helvetica" w:cs="Helvetica"/>
                <w:i/>
                <w:iCs/>
                <w:spacing w:val="-2"/>
                <w:sz w:val="20"/>
                <w:szCs w:val="20"/>
              </w:rPr>
              <w:t>Example:</w:t>
            </w:r>
            <w:r w:rsidRPr="00CB5F8D">
              <w:rPr>
                <w:rFonts w:ascii="Helvetica" w:eastAsiaTheme="minorEastAsia" w:hAnsi="Helvetica" w:cs="Helvetica"/>
                <w:spacing w:val="-2"/>
                <w:sz w:val="20"/>
                <w:szCs w:val="20"/>
              </w:rPr>
              <w:t xml:space="preserve"> Simulated trials, simulated senate discussions, etc., as preparation for understanding and participating in government as a citizen.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CB5F8D" w:rsidRPr="00CB5F8D" w:rsidRDefault="00CB5F8D" w:rsidP="00CB5F8D">
            <w:pPr>
              <w:tabs>
                <w:tab w:val="left" w:pos="-720"/>
              </w:tabs>
              <w:suppressAutoHyphens/>
              <w:autoSpaceDE w:val="0"/>
              <w:autoSpaceDN w:val="0"/>
              <w:spacing w:before="90" w:after="54" w:line="240" w:lineRule="auto"/>
              <w:ind w:left="240" w:hanging="240"/>
              <w:rPr>
                <w:rFonts w:ascii="Helvetica" w:eastAsiaTheme="minorEastAsia" w:hAnsi="Helvetica" w:cs="Helvetica"/>
                <w:spacing w:val="-2"/>
                <w:sz w:val="20"/>
                <w:szCs w:val="20"/>
              </w:rPr>
            </w:pPr>
            <w:r w:rsidRPr="00CB5F8D">
              <w:rPr>
                <w:rFonts w:ascii="Helvetica" w:eastAsiaTheme="minorEastAsia" w:hAnsi="Helvetica" w:cs="Helvetica"/>
                <w:spacing w:val="-2"/>
                <w:sz w:val="20"/>
                <w:szCs w:val="20"/>
              </w:rPr>
              <w:t xml:space="preserve">8. </w:t>
            </w:r>
            <w:r w:rsidRPr="00CB5F8D">
              <w:rPr>
                <w:rFonts w:ascii="Helvetica" w:eastAsiaTheme="minorEastAsia" w:hAnsi="Helvetica" w:cs="Helvetica"/>
                <w:b/>
                <w:bCs/>
                <w:spacing w:val="-2"/>
                <w:sz w:val="20"/>
                <w:szCs w:val="20"/>
              </w:rPr>
              <w:t>Using analogies:</w:t>
            </w:r>
            <w:r w:rsidRPr="00CB5F8D">
              <w:rPr>
                <w:rFonts w:ascii="Helvetica" w:eastAsiaTheme="minorEastAsia" w:hAnsi="Helvetica" w:cs="Helvetica"/>
                <w:spacing w:val="-2"/>
                <w:sz w:val="20"/>
                <w:szCs w:val="20"/>
              </w:rPr>
              <w:t xml:space="preserve"> Engage students in finding and elaborating an analogy between a topic under study and something rather different from it. </w:t>
            </w:r>
            <w:r w:rsidRPr="00CB5F8D">
              <w:rPr>
                <w:rFonts w:ascii="Helvetica" w:eastAsiaTheme="minorEastAsia" w:hAnsi="Helvetica" w:cs="Helvetica"/>
                <w:i/>
                <w:iCs/>
                <w:spacing w:val="-2"/>
                <w:sz w:val="20"/>
                <w:szCs w:val="20"/>
              </w:rPr>
              <w:t>Example:</w:t>
            </w:r>
            <w:r w:rsidRPr="00CB5F8D">
              <w:rPr>
                <w:rFonts w:ascii="Helvetica" w:eastAsiaTheme="minorEastAsia" w:hAnsi="Helvetica" w:cs="Helvetica"/>
                <w:spacing w:val="-2"/>
                <w:sz w:val="20"/>
                <w:szCs w:val="20"/>
              </w:rPr>
              <w:t xml:space="preserve"> Ask students to compare and contrast the structure of the human circulatory system with the structure of water and waste services in a city.</w:t>
            </w:r>
          </w:p>
        </w:tc>
      </w:tr>
      <w:tr w:rsidR="00CB5F8D" w:rsidRPr="00CB5F8D" w:rsidTr="00CC0CA8">
        <w:trPr>
          <w:jc w:val="right"/>
        </w:trPr>
        <w:tc>
          <w:tcPr>
            <w:tcW w:w="468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CB5F8D" w:rsidRPr="00CB5F8D" w:rsidRDefault="00CB5F8D" w:rsidP="00CB5F8D">
            <w:pPr>
              <w:tabs>
                <w:tab w:val="left" w:pos="-720"/>
              </w:tabs>
              <w:suppressAutoHyphens/>
              <w:autoSpaceDE w:val="0"/>
              <w:autoSpaceDN w:val="0"/>
              <w:spacing w:before="90" w:after="54" w:line="240" w:lineRule="auto"/>
              <w:ind w:left="240" w:hanging="240"/>
              <w:rPr>
                <w:rFonts w:ascii="Helvetica" w:eastAsiaTheme="minorEastAsia" w:hAnsi="Helvetica" w:cs="Helvetica"/>
                <w:spacing w:val="-2"/>
                <w:sz w:val="20"/>
                <w:szCs w:val="20"/>
              </w:rPr>
            </w:pPr>
            <w:r w:rsidRPr="00CB5F8D">
              <w:rPr>
                <w:rFonts w:ascii="Helvetica" w:eastAsiaTheme="minorEastAsia" w:hAnsi="Helvetica" w:cs="Helvetica"/>
                <w:spacing w:val="-2"/>
                <w:sz w:val="20"/>
                <w:szCs w:val="20"/>
              </w:rPr>
              <w:t xml:space="preserve">4. </w:t>
            </w:r>
            <w:r w:rsidRPr="00CB5F8D">
              <w:rPr>
                <w:rFonts w:ascii="Helvetica" w:eastAsiaTheme="minorEastAsia" w:hAnsi="Helvetica" w:cs="Helvetica"/>
                <w:b/>
                <w:bCs/>
                <w:spacing w:val="-2"/>
                <w:sz w:val="20"/>
                <w:szCs w:val="20"/>
              </w:rPr>
              <w:t>Modelling:</w:t>
            </w:r>
            <w:r w:rsidRPr="00CB5F8D">
              <w:rPr>
                <w:rFonts w:ascii="Helvetica" w:eastAsiaTheme="minorEastAsia" w:hAnsi="Helvetica" w:cs="Helvetica"/>
                <w:spacing w:val="-2"/>
                <w:sz w:val="20"/>
                <w:szCs w:val="20"/>
              </w:rPr>
              <w:t xml:space="preserve"> Show, demonstrate rather than just describing, discussing. </w:t>
            </w:r>
            <w:r w:rsidRPr="00CB5F8D">
              <w:rPr>
                <w:rFonts w:ascii="Helvetica" w:eastAsiaTheme="minorEastAsia" w:hAnsi="Helvetica" w:cs="Helvetica"/>
                <w:i/>
                <w:iCs/>
                <w:spacing w:val="-2"/>
                <w:sz w:val="20"/>
                <w:szCs w:val="20"/>
              </w:rPr>
              <w:t>Example:</w:t>
            </w:r>
            <w:r w:rsidRPr="00CB5F8D">
              <w:rPr>
                <w:rFonts w:ascii="Helvetica" w:eastAsiaTheme="minorEastAsia" w:hAnsi="Helvetica" w:cs="Helvetica"/>
                <w:spacing w:val="-2"/>
                <w:sz w:val="20"/>
                <w:szCs w:val="20"/>
              </w:rPr>
              <w:t xml:space="preserve"> A math teacher demonstrates how a problem might be solved, "thinking aloud" to reveal inner strategic moves.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CB5F8D" w:rsidRPr="00CB5F8D" w:rsidRDefault="00CB5F8D" w:rsidP="00CB5F8D">
            <w:pPr>
              <w:tabs>
                <w:tab w:val="left" w:pos="-720"/>
              </w:tabs>
              <w:suppressAutoHyphens/>
              <w:autoSpaceDE w:val="0"/>
              <w:autoSpaceDN w:val="0"/>
              <w:spacing w:before="90" w:after="54" w:line="240" w:lineRule="auto"/>
              <w:ind w:left="240" w:hanging="240"/>
              <w:rPr>
                <w:rFonts w:ascii="Helvetica" w:eastAsiaTheme="minorEastAsia" w:hAnsi="Helvetica" w:cs="Helvetica"/>
                <w:spacing w:val="-2"/>
                <w:sz w:val="20"/>
                <w:szCs w:val="20"/>
              </w:rPr>
            </w:pPr>
            <w:r w:rsidRPr="00CB5F8D">
              <w:rPr>
                <w:rFonts w:ascii="Helvetica" w:eastAsiaTheme="minorEastAsia" w:hAnsi="Helvetica" w:cs="Helvetica"/>
                <w:spacing w:val="-2"/>
                <w:sz w:val="20"/>
                <w:szCs w:val="20"/>
              </w:rPr>
              <w:t xml:space="preserve">9. </w:t>
            </w:r>
            <w:r w:rsidRPr="00CB5F8D">
              <w:rPr>
                <w:rFonts w:ascii="Helvetica" w:eastAsiaTheme="minorEastAsia" w:hAnsi="Helvetica" w:cs="Helvetica"/>
                <w:b/>
                <w:bCs/>
                <w:spacing w:val="-2"/>
                <w:sz w:val="20"/>
                <w:szCs w:val="20"/>
              </w:rPr>
              <w:t>Parallel problem solving:</w:t>
            </w:r>
            <w:r w:rsidRPr="00CB5F8D">
              <w:rPr>
                <w:rFonts w:ascii="Helvetica" w:eastAsiaTheme="minorEastAsia" w:hAnsi="Helvetica" w:cs="Helvetica"/>
                <w:spacing w:val="-2"/>
                <w:sz w:val="20"/>
                <w:szCs w:val="20"/>
              </w:rPr>
              <w:t xml:space="preserve"> Engage students in solving problems with parallel structure in two different areas, to gain an appreciation for the similarities and contrasts. </w:t>
            </w:r>
            <w:r w:rsidRPr="00CB5F8D">
              <w:rPr>
                <w:rFonts w:ascii="Helvetica" w:eastAsiaTheme="minorEastAsia" w:hAnsi="Helvetica" w:cs="Helvetica"/>
                <w:i/>
                <w:iCs/>
                <w:spacing w:val="-2"/>
                <w:sz w:val="20"/>
                <w:szCs w:val="20"/>
              </w:rPr>
              <w:t>Example:</w:t>
            </w:r>
            <w:r w:rsidRPr="00CB5F8D">
              <w:rPr>
                <w:rFonts w:ascii="Helvetica" w:eastAsiaTheme="minorEastAsia" w:hAnsi="Helvetica" w:cs="Helvetica"/>
                <w:spacing w:val="-2"/>
                <w:sz w:val="20"/>
                <w:szCs w:val="20"/>
              </w:rPr>
              <w:t xml:space="preserve"> Have students investigate a (nonsensitive) problem in their home environment and a study problem in school, using the same problem solving strategy. Help them to draw out the parallels and differences.</w:t>
            </w:r>
          </w:p>
        </w:tc>
      </w:tr>
      <w:tr w:rsidR="00CB5F8D" w:rsidRPr="00CB5F8D" w:rsidTr="00CC0CA8">
        <w:trPr>
          <w:jc w:val="right"/>
        </w:trPr>
        <w:tc>
          <w:tcPr>
            <w:tcW w:w="468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CB5F8D" w:rsidRPr="00CB5F8D" w:rsidRDefault="00CB5F8D" w:rsidP="00CB5F8D">
            <w:pPr>
              <w:tabs>
                <w:tab w:val="left" w:pos="-720"/>
              </w:tabs>
              <w:suppressAutoHyphens/>
              <w:autoSpaceDE w:val="0"/>
              <w:autoSpaceDN w:val="0"/>
              <w:spacing w:before="90" w:after="54" w:line="240" w:lineRule="auto"/>
              <w:ind w:left="240" w:hanging="240"/>
              <w:rPr>
                <w:rFonts w:ascii="Helvetica" w:eastAsiaTheme="minorEastAsia" w:hAnsi="Helvetica" w:cs="Helvetica"/>
                <w:spacing w:val="-2"/>
                <w:sz w:val="20"/>
                <w:szCs w:val="20"/>
              </w:rPr>
            </w:pPr>
            <w:r w:rsidRPr="00CB5F8D">
              <w:rPr>
                <w:rFonts w:ascii="Helvetica" w:eastAsiaTheme="minorEastAsia" w:hAnsi="Helvetica" w:cs="Helvetica"/>
                <w:spacing w:val="-2"/>
                <w:sz w:val="20"/>
                <w:szCs w:val="20"/>
              </w:rPr>
              <w:t xml:space="preserve">5. </w:t>
            </w:r>
            <w:r w:rsidRPr="00CB5F8D">
              <w:rPr>
                <w:rFonts w:ascii="Helvetica" w:eastAsiaTheme="minorEastAsia" w:hAnsi="Helvetica" w:cs="Helvetica"/>
                <w:b/>
                <w:bCs/>
                <w:spacing w:val="-2"/>
                <w:sz w:val="20"/>
                <w:szCs w:val="20"/>
              </w:rPr>
              <w:t>Problem-based learning:</w:t>
            </w:r>
            <w:r w:rsidRPr="00CB5F8D">
              <w:rPr>
                <w:rFonts w:ascii="Helvetica" w:eastAsiaTheme="minorEastAsia" w:hAnsi="Helvetica" w:cs="Helvetica"/>
                <w:spacing w:val="-2"/>
                <w:sz w:val="20"/>
                <w:szCs w:val="20"/>
              </w:rPr>
              <w:t xml:space="preserve"> Have students learn content they are supposed to use in solving problems through solving analogous kinds of problems, pulling in the content as they need it. </w:t>
            </w:r>
            <w:r w:rsidRPr="00CB5F8D">
              <w:rPr>
                <w:rFonts w:ascii="Helvetica" w:eastAsiaTheme="minorEastAsia" w:hAnsi="Helvetica" w:cs="Helvetica"/>
                <w:i/>
                <w:iCs/>
                <w:spacing w:val="-2"/>
                <w:sz w:val="20"/>
                <w:szCs w:val="20"/>
              </w:rPr>
              <w:t>Example:</w:t>
            </w:r>
            <w:r w:rsidRPr="00CB5F8D">
              <w:rPr>
                <w:rFonts w:ascii="Helvetica" w:eastAsiaTheme="minorEastAsia" w:hAnsi="Helvetica" w:cs="Helvetica"/>
                <w:spacing w:val="-2"/>
                <w:sz w:val="20"/>
                <w:szCs w:val="20"/>
              </w:rPr>
              <w:t xml:space="preserve"> Students learn about nutritional needs under different conditions by planning the menu for a desert trek and a long sea voyage, getting nutrition information out of their texts and other sources as they work.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CB5F8D" w:rsidRPr="00CB5F8D" w:rsidRDefault="00CB5F8D" w:rsidP="00CB5F8D">
            <w:pPr>
              <w:tabs>
                <w:tab w:val="left" w:pos="-720"/>
              </w:tabs>
              <w:suppressAutoHyphens/>
              <w:autoSpaceDE w:val="0"/>
              <w:autoSpaceDN w:val="0"/>
              <w:spacing w:before="90" w:after="54" w:line="240" w:lineRule="auto"/>
              <w:ind w:left="240" w:hanging="240"/>
              <w:rPr>
                <w:rFonts w:ascii="Helvetica" w:eastAsiaTheme="minorEastAsia" w:hAnsi="Helvetica" w:cs="Helvetica"/>
                <w:spacing w:val="-2"/>
                <w:sz w:val="20"/>
                <w:szCs w:val="20"/>
              </w:rPr>
            </w:pPr>
            <w:r w:rsidRPr="00CB5F8D">
              <w:rPr>
                <w:rFonts w:ascii="Helvetica" w:eastAsiaTheme="minorEastAsia" w:hAnsi="Helvetica" w:cs="Helvetica"/>
                <w:spacing w:val="-2"/>
                <w:sz w:val="20"/>
                <w:szCs w:val="20"/>
              </w:rPr>
              <w:t xml:space="preserve">10. </w:t>
            </w:r>
            <w:r w:rsidRPr="00CB5F8D">
              <w:rPr>
                <w:rFonts w:ascii="Helvetica" w:eastAsiaTheme="minorEastAsia" w:hAnsi="Helvetica" w:cs="Helvetica"/>
                <w:b/>
                <w:bCs/>
                <w:spacing w:val="-2"/>
                <w:sz w:val="20"/>
                <w:szCs w:val="20"/>
              </w:rPr>
              <w:t>Metacognitive reflection:</w:t>
            </w:r>
            <w:r w:rsidRPr="00CB5F8D">
              <w:rPr>
                <w:rFonts w:ascii="Helvetica" w:eastAsiaTheme="minorEastAsia" w:hAnsi="Helvetica" w:cs="Helvetica"/>
                <w:spacing w:val="-2"/>
                <w:sz w:val="20"/>
                <w:szCs w:val="20"/>
              </w:rPr>
              <w:t xml:space="preserve"> Prompt and support students in planning, monitoring, and evaluating their own thinking. </w:t>
            </w:r>
            <w:r w:rsidRPr="00CB5F8D">
              <w:rPr>
                <w:rFonts w:ascii="Helvetica" w:eastAsiaTheme="minorEastAsia" w:hAnsi="Helvetica" w:cs="Helvetica"/>
                <w:i/>
                <w:iCs/>
                <w:spacing w:val="-2"/>
                <w:sz w:val="20"/>
                <w:szCs w:val="20"/>
              </w:rPr>
              <w:t>Example:</w:t>
            </w:r>
            <w:r w:rsidRPr="00CB5F8D">
              <w:rPr>
                <w:rFonts w:ascii="Helvetica" w:eastAsiaTheme="minorEastAsia" w:hAnsi="Helvetica" w:cs="Helvetica"/>
                <w:spacing w:val="-2"/>
                <w:sz w:val="20"/>
                <w:szCs w:val="20"/>
              </w:rPr>
              <w:t xml:space="preserve"> After a quiz or indeed any thought-demanding activity, have students ask themselves, "What went well, what was hard, and how could I handle what was hard better next time?"</w:t>
            </w:r>
          </w:p>
        </w:tc>
      </w:tr>
    </w:tbl>
    <w:p w:rsidR="00CB5F8D" w:rsidRPr="00CB5F8D" w:rsidRDefault="00CB5F8D" w:rsidP="00CB5F8D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Helvetica" w:eastAsiaTheme="minorEastAsia" w:hAnsi="Helvetica" w:cs="Helvetica"/>
          <w:spacing w:val="-2"/>
          <w:sz w:val="20"/>
          <w:szCs w:val="20"/>
        </w:rPr>
      </w:pPr>
    </w:p>
    <w:p w:rsidR="00CB5F8D" w:rsidRPr="00CB5F8D" w:rsidRDefault="00CB5F8D" w:rsidP="00CB5F8D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Helvetica" w:eastAsiaTheme="minorEastAsia" w:hAnsi="Helvetica" w:cs="Helvetica"/>
          <w:spacing w:val="-2"/>
          <w:sz w:val="20"/>
          <w:szCs w:val="20"/>
        </w:rPr>
      </w:pPr>
    </w:p>
    <w:p w:rsidR="00CC0CA8" w:rsidRDefault="00CB5F8D" w:rsidP="00CC0CA8">
      <w:pPr>
        <w:autoSpaceDE w:val="0"/>
        <w:autoSpaceDN w:val="0"/>
        <w:spacing w:after="0" w:line="240" w:lineRule="auto"/>
        <w:ind w:left="720"/>
        <w:rPr>
          <w:rFonts w:ascii="Helvetica" w:eastAsiaTheme="minorEastAsia" w:hAnsi="Helvetica" w:cs="Helvetica"/>
          <w:spacing w:val="-2"/>
          <w:sz w:val="20"/>
          <w:szCs w:val="20"/>
        </w:rPr>
      </w:pPr>
      <w:r w:rsidRPr="00CB5F8D">
        <w:rPr>
          <w:rFonts w:ascii="Helvetica" w:eastAsiaTheme="minorEastAsia" w:hAnsi="Helvetica" w:cs="Helvetica"/>
          <w:spacing w:val="-2"/>
          <w:sz w:val="20"/>
          <w:szCs w:val="20"/>
        </w:rPr>
        <w:t xml:space="preserve">This document is from learnweb.harvard.edu/alps/thinking/docs/10tips.doc and is based on </w:t>
      </w:r>
      <w:r w:rsidRPr="00CB5F8D">
        <w:rPr>
          <w:rFonts w:ascii="Helvetica" w:eastAsiaTheme="minorEastAsia" w:hAnsi="Helvetica" w:cs="Helvetica"/>
          <w:i/>
          <w:iCs/>
          <w:spacing w:val="-2"/>
          <w:sz w:val="20"/>
          <w:szCs w:val="20"/>
        </w:rPr>
        <w:t>How to Teach for Transfer</w:t>
      </w:r>
      <w:r w:rsidRPr="00CB5F8D">
        <w:rPr>
          <w:rFonts w:ascii="Helvetica" w:eastAsiaTheme="minorEastAsia" w:hAnsi="Helvetica" w:cs="Helvetica"/>
          <w:spacing w:val="-2"/>
          <w:sz w:val="20"/>
          <w:szCs w:val="20"/>
        </w:rPr>
        <w:t xml:space="preserve"> (Robin Fogarty, David Perkins, and John Barell, Palatine, IL: Skylight Publishing, 1992.)</w:t>
      </w:r>
    </w:p>
    <w:p w:rsidR="00CC0CA8" w:rsidRDefault="00CC0CA8">
      <w:pPr>
        <w:rPr>
          <w:rFonts w:ascii="Helvetica" w:eastAsiaTheme="minorEastAsia" w:hAnsi="Helvetica" w:cs="Helvetica"/>
          <w:spacing w:val="-2"/>
          <w:sz w:val="20"/>
          <w:szCs w:val="20"/>
        </w:rPr>
      </w:pPr>
      <w:r>
        <w:rPr>
          <w:rFonts w:ascii="Helvetica" w:eastAsiaTheme="minorEastAsia" w:hAnsi="Helvetica" w:cs="Helvetica"/>
          <w:spacing w:val="-2"/>
          <w:sz w:val="20"/>
          <w:szCs w:val="20"/>
        </w:rPr>
        <w:br w:type="page"/>
      </w:r>
    </w:p>
    <w:p w:rsidR="007F5D44" w:rsidRDefault="00CC0CA8" w:rsidP="007F5D44">
      <w:pPr>
        <w:autoSpaceDE w:val="0"/>
        <w:autoSpaceDN w:val="0"/>
        <w:spacing w:after="0" w:line="240" w:lineRule="auto"/>
        <w:rPr>
          <w:rFonts w:ascii="Arial" w:eastAsiaTheme="minorEastAsia" w:hAnsi="Arial" w:cs="Arial"/>
          <w:b/>
          <w:sz w:val="20"/>
          <w:szCs w:val="20"/>
        </w:rPr>
      </w:pPr>
      <w:r w:rsidRPr="007F5D44">
        <w:rPr>
          <w:rFonts w:ascii="Arial" w:eastAsiaTheme="minorEastAsia" w:hAnsi="Arial" w:cs="Arial"/>
          <w:b/>
          <w:sz w:val="20"/>
          <w:szCs w:val="20"/>
        </w:rPr>
        <w:lastRenderedPageBreak/>
        <w:t>Strategy 5: Develop an articulate stance against pressures for lock-step alignment between high school and college.</w:t>
      </w:r>
    </w:p>
    <w:p w:rsidR="007F5D44" w:rsidRDefault="007F5D44" w:rsidP="007F5D44">
      <w:pPr>
        <w:autoSpaceDE w:val="0"/>
        <w:autoSpaceDN w:val="0"/>
        <w:spacing w:after="0" w:line="240" w:lineRule="auto"/>
        <w:rPr>
          <w:rFonts w:ascii="Arial" w:eastAsiaTheme="minorEastAsia" w:hAnsi="Arial" w:cs="Arial"/>
          <w:b/>
          <w:sz w:val="20"/>
          <w:szCs w:val="20"/>
        </w:rPr>
      </w:pPr>
    </w:p>
    <w:p w:rsidR="00B8251C" w:rsidRPr="00B8251C" w:rsidRDefault="007F5D44" w:rsidP="007F5D44">
      <w:pPr>
        <w:ind w:left="720"/>
      </w:pPr>
      <w:r w:rsidRPr="007F5D44">
        <w:rPr>
          <w:rFonts w:ascii="Arial" w:eastAsiaTheme="minorEastAsia" w:hAnsi="Arial" w:cs="Arial"/>
          <w:b/>
          <w:sz w:val="20"/>
          <w:szCs w:val="20"/>
        </w:rPr>
        <w:t>Fanetti, Bushrow, and DeWeese:</w:t>
      </w:r>
      <w:r>
        <w:rPr>
          <w:rFonts w:ascii="Arial" w:eastAsiaTheme="minorEastAsia" w:hAnsi="Arial" w:cs="Arial"/>
          <w:sz w:val="20"/>
          <w:szCs w:val="20"/>
        </w:rPr>
        <w:t xml:space="preserve"> “W</w:t>
      </w:r>
      <w:r w:rsidRPr="007F5D44">
        <w:rPr>
          <w:rFonts w:ascii="Arial" w:eastAsiaTheme="minorEastAsia" w:hAnsi="Arial" w:cs="Arial"/>
          <w:sz w:val="20"/>
          <w:szCs w:val="20"/>
        </w:rPr>
        <w:t>e think of college as the place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7F5D44">
        <w:rPr>
          <w:rFonts w:ascii="Arial" w:eastAsiaTheme="minorEastAsia" w:hAnsi="Arial" w:cs="Arial"/>
          <w:sz w:val="20"/>
          <w:szCs w:val="20"/>
        </w:rPr>
        <w:t>where students develop “their own voices,” where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7F5D44">
        <w:rPr>
          <w:rFonts w:ascii="Arial" w:eastAsiaTheme="minorEastAsia" w:hAnsi="Arial" w:cs="Arial"/>
          <w:sz w:val="20"/>
          <w:szCs w:val="20"/>
        </w:rPr>
        <w:t>they find the confidence to “think for themselves”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7F5D44">
        <w:rPr>
          <w:rFonts w:ascii="Arial" w:eastAsiaTheme="minorEastAsia" w:hAnsi="Arial" w:cs="Arial"/>
          <w:sz w:val="20"/>
          <w:szCs w:val="20"/>
        </w:rPr>
        <w:t>and “outside the box.” Students are confronted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7F5D44">
        <w:rPr>
          <w:rFonts w:ascii="Arial" w:eastAsiaTheme="minorEastAsia" w:hAnsi="Arial" w:cs="Arial"/>
          <w:sz w:val="20"/>
          <w:szCs w:val="20"/>
        </w:rPr>
        <w:t>with alien ideas and challenged to articulate and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7F5D44">
        <w:rPr>
          <w:rFonts w:ascii="Arial" w:eastAsiaTheme="minorEastAsia" w:hAnsi="Arial" w:cs="Arial"/>
          <w:sz w:val="20"/>
          <w:szCs w:val="20"/>
        </w:rPr>
        <w:t>advocate for their own.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7F5D44">
        <w:rPr>
          <w:rFonts w:ascii="Arial" w:eastAsiaTheme="minorEastAsia" w:hAnsi="Arial" w:cs="Arial"/>
          <w:sz w:val="20"/>
          <w:szCs w:val="20"/>
        </w:rPr>
        <w:t>Whether one thinks of the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7F5D44">
        <w:rPr>
          <w:rFonts w:ascii="Arial" w:eastAsiaTheme="minorEastAsia" w:hAnsi="Arial" w:cs="Arial"/>
          <w:sz w:val="20"/>
          <w:szCs w:val="20"/>
        </w:rPr>
        <w:t>academy as a bastion of openmindedness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7F5D44">
        <w:rPr>
          <w:rFonts w:ascii="Arial" w:eastAsiaTheme="minorEastAsia" w:hAnsi="Arial" w:cs="Arial"/>
          <w:sz w:val="20"/>
          <w:szCs w:val="20"/>
        </w:rPr>
        <w:t>and free thinking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7F5D44">
        <w:rPr>
          <w:rFonts w:ascii="Arial" w:eastAsiaTheme="minorEastAsia" w:hAnsi="Arial" w:cs="Arial"/>
          <w:sz w:val="20"/>
          <w:szCs w:val="20"/>
        </w:rPr>
        <w:t>or as a hotbed of liberal brainwashing,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7F5D44">
        <w:rPr>
          <w:rFonts w:ascii="Arial" w:eastAsiaTheme="minorEastAsia" w:hAnsi="Arial" w:cs="Arial"/>
          <w:sz w:val="20"/>
          <w:szCs w:val="20"/>
        </w:rPr>
        <w:t>it is virtually universally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7F5D44">
        <w:rPr>
          <w:rFonts w:ascii="Arial" w:eastAsiaTheme="minorEastAsia" w:hAnsi="Arial" w:cs="Arial"/>
          <w:sz w:val="20"/>
          <w:szCs w:val="20"/>
        </w:rPr>
        <w:t>understood to be a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7F5D44">
        <w:rPr>
          <w:rFonts w:ascii="Arial" w:eastAsiaTheme="minorEastAsia" w:hAnsi="Arial" w:cs="Arial"/>
          <w:sz w:val="20"/>
          <w:szCs w:val="20"/>
        </w:rPr>
        <w:t>site for abstract analysis and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7F5D44">
        <w:rPr>
          <w:rFonts w:ascii="Arial" w:eastAsiaTheme="minorEastAsia" w:hAnsi="Arial" w:cs="Arial"/>
          <w:sz w:val="20"/>
          <w:szCs w:val="20"/>
        </w:rPr>
        <w:t>critical thinking—skills resistant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7F5D44">
        <w:rPr>
          <w:rFonts w:ascii="Arial" w:eastAsiaTheme="minorEastAsia" w:hAnsi="Arial" w:cs="Arial"/>
          <w:sz w:val="20"/>
          <w:szCs w:val="20"/>
        </w:rPr>
        <w:t>to large-scale, objective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7F5D44">
        <w:rPr>
          <w:rFonts w:ascii="Arial" w:eastAsiaTheme="minorEastAsia" w:hAnsi="Arial" w:cs="Arial"/>
          <w:sz w:val="20"/>
          <w:szCs w:val="20"/>
        </w:rPr>
        <w:t>standardization. Instead of the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7F5D44">
        <w:rPr>
          <w:rFonts w:ascii="Arial" w:eastAsiaTheme="minorEastAsia" w:hAnsi="Arial" w:cs="Arial"/>
          <w:sz w:val="20"/>
          <w:szCs w:val="20"/>
        </w:rPr>
        <w:t>rigid rules of test preparation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7F5D44">
        <w:rPr>
          <w:rFonts w:ascii="Arial" w:eastAsiaTheme="minorEastAsia" w:hAnsi="Arial" w:cs="Arial"/>
          <w:sz w:val="20"/>
          <w:szCs w:val="20"/>
        </w:rPr>
        <w:t>high school students learn,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7F5D44">
        <w:rPr>
          <w:rFonts w:ascii="Arial" w:eastAsiaTheme="minorEastAsia" w:hAnsi="Arial" w:cs="Arial"/>
          <w:sz w:val="20"/>
          <w:szCs w:val="20"/>
        </w:rPr>
        <w:t>college students learn that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7F5D44">
        <w:rPr>
          <w:rFonts w:ascii="Arial" w:eastAsiaTheme="minorEastAsia" w:hAnsi="Arial" w:cs="Arial"/>
          <w:sz w:val="20"/>
          <w:szCs w:val="20"/>
        </w:rPr>
        <w:t>with each course and instructor come entirely new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7F5D44">
        <w:rPr>
          <w:rFonts w:ascii="Arial" w:eastAsiaTheme="minorEastAsia" w:hAnsi="Arial" w:cs="Arial"/>
          <w:sz w:val="20"/>
          <w:szCs w:val="20"/>
        </w:rPr>
        <w:t>expectations, expectations that often contradict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7F5D44">
        <w:rPr>
          <w:rFonts w:ascii="Arial" w:eastAsiaTheme="minorEastAsia" w:hAnsi="Arial" w:cs="Arial"/>
          <w:sz w:val="20"/>
          <w:szCs w:val="20"/>
        </w:rPr>
        <w:t>those of previous instructors. High school students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7F5D44">
        <w:rPr>
          <w:rFonts w:ascii="Arial" w:eastAsiaTheme="minorEastAsia" w:hAnsi="Arial" w:cs="Arial"/>
          <w:sz w:val="20"/>
          <w:szCs w:val="20"/>
        </w:rPr>
        <w:t>learn to follow a specific set of rules; college students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7F5D44">
        <w:rPr>
          <w:rFonts w:ascii="Arial" w:eastAsiaTheme="minorEastAsia" w:hAnsi="Arial" w:cs="Arial"/>
          <w:sz w:val="20"/>
          <w:szCs w:val="20"/>
        </w:rPr>
        <w:t>learn that there are no rules—or, better, that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7F5D44">
        <w:rPr>
          <w:rFonts w:ascii="Arial" w:eastAsiaTheme="minorEastAsia" w:hAnsi="Arial" w:cs="Arial"/>
          <w:sz w:val="20"/>
          <w:szCs w:val="20"/>
        </w:rPr>
        <w:t>the rules change daily. Instead of the detailed rubrics,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7F5D44">
        <w:rPr>
          <w:rFonts w:ascii="Arial" w:eastAsiaTheme="minorEastAsia" w:hAnsi="Arial" w:cs="Arial"/>
          <w:sz w:val="20"/>
          <w:szCs w:val="20"/>
        </w:rPr>
        <w:t>repeated drilling, and objective testing they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7F5D44">
        <w:rPr>
          <w:rFonts w:ascii="Arial" w:eastAsiaTheme="minorEastAsia" w:hAnsi="Arial" w:cs="Arial"/>
          <w:sz w:val="20"/>
          <w:szCs w:val="20"/>
        </w:rPr>
        <w:t>knew in high school, college students find themselves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7F5D44">
        <w:rPr>
          <w:rFonts w:ascii="Arial" w:eastAsiaTheme="minorEastAsia" w:hAnsi="Arial" w:cs="Arial"/>
          <w:sz w:val="20"/>
          <w:szCs w:val="20"/>
        </w:rPr>
        <w:t>largely autonomous and left to figure out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7F5D44">
        <w:rPr>
          <w:rFonts w:ascii="Arial" w:eastAsiaTheme="minorEastAsia" w:hAnsi="Arial" w:cs="Arial"/>
          <w:sz w:val="20"/>
          <w:szCs w:val="20"/>
        </w:rPr>
        <w:t>what’s expected of them on their own.</w:t>
      </w:r>
      <w:r>
        <w:rPr>
          <w:rFonts w:ascii="Arial" w:eastAsiaTheme="minorEastAsia" w:hAnsi="Arial" w:cs="Arial"/>
          <w:sz w:val="20"/>
          <w:szCs w:val="20"/>
        </w:rPr>
        <w:t>”</w:t>
      </w:r>
      <w:r w:rsidR="00B8251C" w:rsidRPr="00B8251C">
        <w:br w:type="page"/>
      </w:r>
    </w:p>
    <w:p w:rsidR="00514F3F" w:rsidRPr="007F5D44" w:rsidRDefault="00B8251C" w:rsidP="00514F3F">
      <w:pPr>
        <w:contextualSpacing/>
        <w:rPr>
          <w:rFonts w:cstheme="minorHAnsi"/>
          <w:b/>
          <w:sz w:val="28"/>
          <w:szCs w:val="28"/>
        </w:rPr>
      </w:pPr>
      <w:r w:rsidRPr="007F5D44">
        <w:rPr>
          <w:rFonts w:cstheme="minorHAnsi"/>
          <w:b/>
          <w:sz w:val="28"/>
          <w:szCs w:val="28"/>
        </w:rPr>
        <w:lastRenderedPageBreak/>
        <w:t>Additional reading</w:t>
      </w:r>
    </w:p>
    <w:p w:rsidR="00B8251C" w:rsidRPr="007F5D44" w:rsidRDefault="00B8251C" w:rsidP="00514F3F">
      <w:pPr>
        <w:contextualSpacing/>
        <w:rPr>
          <w:rFonts w:cstheme="minorHAnsi"/>
          <w:b/>
        </w:rPr>
      </w:pPr>
    </w:p>
    <w:p w:rsidR="00B8251C" w:rsidRPr="007F5D44" w:rsidRDefault="00B8251C" w:rsidP="004064CB">
      <w:pPr>
        <w:ind w:left="360" w:hanging="360"/>
        <w:contextualSpacing/>
        <w:rPr>
          <w:rFonts w:cstheme="minorHAnsi"/>
        </w:rPr>
      </w:pPr>
      <w:r w:rsidRPr="007F5D44">
        <w:rPr>
          <w:rFonts w:cstheme="minorHAnsi"/>
          <w:b/>
        </w:rPr>
        <w:t>ACT</w:t>
      </w:r>
      <w:r w:rsidR="004064CB" w:rsidRPr="007F5D44">
        <w:rPr>
          <w:rFonts w:cstheme="minorHAnsi"/>
        </w:rPr>
        <w:t>.</w:t>
      </w:r>
      <w:r w:rsidRPr="007F5D44">
        <w:rPr>
          <w:rFonts w:cstheme="minorHAnsi"/>
        </w:rPr>
        <w:t xml:space="preserve"> National Curriculum Survey, 2009: </w:t>
      </w:r>
      <w:hyperlink r:id="rId9" w:history="1">
        <w:r w:rsidR="004064CB" w:rsidRPr="007F5D44">
          <w:rPr>
            <w:rStyle w:val="Hyperlink"/>
            <w:rFonts w:cstheme="minorHAnsi"/>
          </w:rPr>
          <w:t>http://www.act.org/research/policymakers/pdf/NationalCurriculumSurvey2009.pdf</w:t>
        </w:r>
      </w:hyperlink>
    </w:p>
    <w:p w:rsidR="00994578" w:rsidRPr="007F5D44" w:rsidRDefault="00994578" w:rsidP="00994578">
      <w:pPr>
        <w:ind w:left="360" w:hanging="360"/>
        <w:contextualSpacing/>
        <w:rPr>
          <w:rFonts w:cstheme="minorHAnsi"/>
        </w:rPr>
      </w:pPr>
      <w:r w:rsidRPr="007F5D44">
        <w:rPr>
          <w:rFonts w:cstheme="minorHAnsi"/>
          <w:b/>
        </w:rPr>
        <w:t xml:space="preserve">Joanne Addison and Sharon James McGee. </w:t>
      </w:r>
      <w:r w:rsidRPr="00C6024A">
        <w:rPr>
          <w:rFonts w:cstheme="minorHAnsi"/>
        </w:rPr>
        <w:t>“Writing in High School/Writing in College: Research Trends and Future Directions.” College Composition and Communication</w:t>
      </w:r>
      <w:r w:rsidR="007F5D44" w:rsidRPr="007F5D44">
        <w:rPr>
          <w:rFonts w:cstheme="minorHAnsi"/>
        </w:rPr>
        <w:t xml:space="preserve"> 62.1 (Sept. 2010): 147-179.</w:t>
      </w:r>
    </w:p>
    <w:p w:rsidR="006A014C" w:rsidRPr="007F5D44" w:rsidRDefault="006A014C" w:rsidP="004064CB">
      <w:pPr>
        <w:ind w:left="360" w:hanging="360"/>
        <w:contextualSpacing/>
        <w:rPr>
          <w:rFonts w:cstheme="minorHAnsi"/>
        </w:rPr>
      </w:pPr>
      <w:r w:rsidRPr="007F5D44">
        <w:rPr>
          <w:rFonts w:cstheme="minorHAnsi"/>
          <w:b/>
        </w:rPr>
        <w:t>Anne Beaufort.</w:t>
      </w:r>
      <w:r w:rsidRPr="007F5D44">
        <w:rPr>
          <w:rFonts w:cstheme="minorHAnsi"/>
        </w:rPr>
        <w:t xml:space="preserve"> </w:t>
      </w:r>
      <w:r w:rsidRPr="007F5D44">
        <w:rPr>
          <w:rFonts w:cstheme="minorHAnsi"/>
          <w:i/>
          <w:iCs/>
        </w:rPr>
        <w:t>College writing and beyond : A new framework for university writing instruction</w:t>
      </w:r>
      <w:r w:rsidRPr="007F5D44">
        <w:rPr>
          <w:rFonts w:cstheme="minorHAnsi"/>
        </w:rPr>
        <w:t>. Logan, UT: Utah State University Press, 2007.</w:t>
      </w:r>
    </w:p>
    <w:p w:rsidR="00994578" w:rsidRPr="007F5D44" w:rsidRDefault="00994578" w:rsidP="004064CB">
      <w:pPr>
        <w:ind w:left="360" w:hanging="360"/>
        <w:contextualSpacing/>
        <w:rPr>
          <w:rFonts w:cstheme="minorHAnsi"/>
        </w:rPr>
      </w:pPr>
      <w:r w:rsidRPr="007F5D44">
        <w:rPr>
          <w:rFonts w:cstheme="minorHAnsi"/>
          <w:b/>
        </w:rPr>
        <w:t>Doug Brent</w:t>
      </w:r>
      <w:r w:rsidRPr="007F5D44">
        <w:rPr>
          <w:rFonts w:cstheme="minorHAnsi"/>
        </w:rPr>
        <w:t xml:space="preserve">. “Transfer, Transformation, and Rhetorical Knowledge: Insights from Transfer Theory.” </w:t>
      </w:r>
      <w:r w:rsidRPr="007F5D44">
        <w:rPr>
          <w:rFonts w:cstheme="minorHAnsi"/>
          <w:i/>
        </w:rPr>
        <w:t>Journal of Business and Technical Communication</w:t>
      </w:r>
      <w:r w:rsidRPr="007F5D44">
        <w:rPr>
          <w:rFonts w:cstheme="minorHAnsi"/>
        </w:rPr>
        <w:t xml:space="preserve"> 25.4 (2011): 396-420.</w:t>
      </w:r>
    </w:p>
    <w:p w:rsidR="00181187" w:rsidRPr="007F5D44" w:rsidRDefault="00181187" w:rsidP="004064CB">
      <w:pPr>
        <w:ind w:left="360" w:hanging="360"/>
        <w:contextualSpacing/>
        <w:rPr>
          <w:rFonts w:cstheme="minorHAnsi"/>
          <w:bCs/>
        </w:rPr>
      </w:pPr>
      <w:r w:rsidRPr="007F5D44">
        <w:rPr>
          <w:rFonts w:cstheme="minorHAnsi"/>
          <w:b/>
          <w:bCs/>
        </w:rPr>
        <w:t xml:space="preserve">Andrew DelBanco. </w:t>
      </w:r>
      <w:r w:rsidRPr="007F5D44">
        <w:rPr>
          <w:rFonts w:cstheme="minorHAnsi"/>
          <w:bCs/>
        </w:rPr>
        <w:t xml:space="preserve">“College at Risk.” </w:t>
      </w:r>
      <w:r w:rsidRPr="007F5D44">
        <w:rPr>
          <w:rFonts w:cstheme="minorHAnsi"/>
          <w:bCs/>
          <w:i/>
        </w:rPr>
        <w:t>The Chronicle of Higher Education</w:t>
      </w:r>
      <w:r w:rsidRPr="007F5D44">
        <w:rPr>
          <w:rFonts w:cstheme="minorHAnsi"/>
          <w:bCs/>
        </w:rPr>
        <w:t xml:space="preserve">. Feb. 26, 2012. </w:t>
      </w:r>
      <w:hyperlink r:id="rId10" w:history="1">
        <w:r w:rsidRPr="007F5D44">
          <w:rPr>
            <w:rStyle w:val="Hyperlink"/>
            <w:rFonts w:cstheme="minorHAnsi"/>
            <w:bCs/>
          </w:rPr>
          <w:t>http://chronicle.com/article/College-at-Risk/130893/</w:t>
        </w:r>
      </w:hyperlink>
      <w:r w:rsidRPr="007F5D44">
        <w:rPr>
          <w:rFonts w:cstheme="minorHAnsi"/>
          <w:bCs/>
        </w:rPr>
        <w:t xml:space="preserve"> </w:t>
      </w:r>
    </w:p>
    <w:p w:rsidR="00994578" w:rsidRPr="007F5D44" w:rsidRDefault="00994578" w:rsidP="00994578">
      <w:pPr>
        <w:ind w:left="360" w:hanging="360"/>
        <w:contextualSpacing/>
        <w:rPr>
          <w:rFonts w:cstheme="minorHAnsi"/>
          <w:b/>
          <w:bCs/>
        </w:rPr>
      </w:pPr>
      <w:r w:rsidRPr="007F5D44">
        <w:rPr>
          <w:rFonts w:cstheme="minorHAnsi"/>
          <w:b/>
          <w:bCs/>
        </w:rPr>
        <w:t xml:space="preserve">Doug Downs. </w:t>
      </w:r>
      <w:r w:rsidRPr="007F5D44">
        <w:rPr>
          <w:rFonts w:cstheme="minorHAnsi"/>
          <w:bCs/>
        </w:rPr>
        <w:t xml:space="preserve">“Teaching First-Year Writers to Use Texts.” </w:t>
      </w:r>
      <w:r w:rsidRPr="007F5D44">
        <w:rPr>
          <w:rFonts w:cstheme="minorHAnsi"/>
          <w:bCs/>
          <w:i/>
          <w:iCs/>
        </w:rPr>
        <w:t xml:space="preserve">Reader, </w:t>
      </w:r>
      <w:r w:rsidRPr="007F5D44">
        <w:rPr>
          <w:rFonts w:cstheme="minorHAnsi"/>
          <w:bCs/>
        </w:rPr>
        <w:t>Fall 2010: 19-50.</w:t>
      </w:r>
    </w:p>
    <w:p w:rsidR="006A014C" w:rsidRPr="007F5D44" w:rsidRDefault="006A014C" w:rsidP="004064CB">
      <w:pPr>
        <w:ind w:left="360" w:hanging="360"/>
        <w:contextualSpacing/>
        <w:rPr>
          <w:rFonts w:cstheme="minorHAnsi"/>
          <w:b/>
        </w:rPr>
      </w:pPr>
      <w:r w:rsidRPr="007F5D44">
        <w:rPr>
          <w:rFonts w:cstheme="minorHAnsi"/>
          <w:b/>
          <w:bCs/>
        </w:rPr>
        <w:t xml:space="preserve">Susan Fanetti, Kathy M. Bushrow, and David L. DeWeese. </w:t>
      </w:r>
      <w:r w:rsidRPr="007F5D44">
        <w:rPr>
          <w:rFonts w:cstheme="minorHAnsi"/>
          <w:bCs/>
        </w:rPr>
        <w:t xml:space="preserve">“Closing the Gap between High School Writing Instruction and College Writing Expectations.” </w:t>
      </w:r>
      <w:r w:rsidRPr="007F5D44">
        <w:rPr>
          <w:rFonts w:cstheme="minorHAnsi"/>
          <w:bCs/>
          <w:i/>
          <w:iCs/>
        </w:rPr>
        <w:t xml:space="preserve">English Journal </w:t>
      </w:r>
      <w:r w:rsidRPr="007F5D44">
        <w:rPr>
          <w:rFonts w:cstheme="minorHAnsi"/>
          <w:bCs/>
        </w:rPr>
        <w:t>99.4 (2010): 77–83.</w:t>
      </w:r>
    </w:p>
    <w:p w:rsidR="006A014C" w:rsidRPr="007F5D44" w:rsidRDefault="004064CB" w:rsidP="004064CB">
      <w:pPr>
        <w:ind w:left="360" w:hanging="360"/>
        <w:contextualSpacing/>
        <w:rPr>
          <w:rFonts w:cstheme="minorHAnsi"/>
          <w:b/>
        </w:rPr>
      </w:pPr>
      <w:r w:rsidRPr="007F5D44">
        <w:rPr>
          <w:rFonts w:cstheme="minorHAnsi"/>
          <w:b/>
        </w:rPr>
        <w:t>Dan Fraizer.</w:t>
      </w:r>
      <w:r w:rsidR="006A014C" w:rsidRPr="007F5D44">
        <w:rPr>
          <w:rFonts w:cstheme="minorHAnsi"/>
          <w:b/>
        </w:rPr>
        <w:t xml:space="preserve"> </w:t>
      </w:r>
      <w:r w:rsidR="006A014C" w:rsidRPr="007F5D44">
        <w:rPr>
          <w:rFonts w:cstheme="minorHAnsi"/>
        </w:rPr>
        <w:t xml:space="preserve">“First Steps Beyond First Year: Coaching Transfer after FYC.” </w:t>
      </w:r>
      <w:r w:rsidRPr="007F5D44">
        <w:rPr>
          <w:rFonts w:cstheme="minorHAnsi"/>
          <w:i/>
        </w:rPr>
        <w:t>Writing Program Administration</w:t>
      </w:r>
      <w:r w:rsidRPr="007F5D44">
        <w:rPr>
          <w:rFonts w:cstheme="minorHAnsi"/>
        </w:rPr>
        <w:t xml:space="preserve"> 33.3 (Spring 2010): 34-57</w:t>
      </w:r>
    </w:p>
    <w:p w:rsidR="00181187" w:rsidRPr="007F5D44" w:rsidRDefault="00181187" w:rsidP="00181187">
      <w:pPr>
        <w:ind w:left="360" w:hanging="360"/>
        <w:contextualSpacing/>
        <w:rPr>
          <w:rFonts w:cstheme="minorHAnsi"/>
          <w:b/>
        </w:rPr>
      </w:pPr>
      <w:r w:rsidRPr="007F5D44">
        <w:rPr>
          <w:rFonts w:cstheme="minorHAnsi"/>
          <w:b/>
        </w:rPr>
        <w:t xml:space="preserve">Mary Goldschmidt. </w:t>
      </w:r>
      <w:r w:rsidRPr="007F5D44">
        <w:rPr>
          <w:rFonts w:cstheme="minorHAnsi"/>
        </w:rPr>
        <w:t>“</w:t>
      </w:r>
      <w:r w:rsidRPr="007F5D44">
        <w:rPr>
          <w:rFonts w:cstheme="minorHAnsi"/>
          <w:bCs/>
        </w:rPr>
        <w:t xml:space="preserve">Marginalia: Teaching Texts, Teaching Readers, Teaching Writers.” </w:t>
      </w:r>
      <w:r w:rsidRPr="007F5D44">
        <w:rPr>
          <w:rFonts w:cstheme="minorHAnsi"/>
          <w:i/>
          <w:iCs/>
        </w:rPr>
        <w:t>Reader</w:t>
      </w:r>
      <w:r w:rsidR="00994578" w:rsidRPr="007F5D44">
        <w:rPr>
          <w:rFonts w:cstheme="minorHAnsi"/>
        </w:rPr>
        <w:t>,</w:t>
      </w:r>
      <w:r w:rsidRPr="007F5D44">
        <w:rPr>
          <w:rFonts w:cstheme="minorHAnsi"/>
          <w:i/>
          <w:iCs/>
        </w:rPr>
        <w:t xml:space="preserve"> </w:t>
      </w:r>
      <w:r w:rsidRPr="007F5D44">
        <w:rPr>
          <w:rFonts w:cstheme="minorHAnsi"/>
        </w:rPr>
        <w:t>Fall 2010: 51-69.</w:t>
      </w:r>
    </w:p>
    <w:p w:rsidR="00181187" w:rsidRPr="007F5D44" w:rsidRDefault="00181187" w:rsidP="004064CB">
      <w:pPr>
        <w:ind w:left="360" w:hanging="360"/>
        <w:contextualSpacing/>
        <w:rPr>
          <w:rFonts w:cstheme="minorHAnsi"/>
        </w:rPr>
      </w:pPr>
      <w:r w:rsidRPr="007F5D44">
        <w:rPr>
          <w:rFonts w:cstheme="minorHAnsi"/>
          <w:b/>
        </w:rPr>
        <w:t xml:space="preserve">Nelson Graff. </w:t>
      </w:r>
      <w:r w:rsidRPr="007F5D44">
        <w:rPr>
          <w:rFonts w:cstheme="minorHAnsi"/>
        </w:rPr>
        <w:t xml:space="preserve">“Teaching Rhetorical Analysis to Promote Transfer of Learning.” </w:t>
      </w:r>
      <w:r w:rsidRPr="007F5D44">
        <w:rPr>
          <w:rFonts w:cstheme="minorHAnsi"/>
          <w:i/>
        </w:rPr>
        <w:t>Journal of Adolescent &amp; Adult Literacy</w:t>
      </w:r>
      <w:r w:rsidR="00994578" w:rsidRPr="007F5D44">
        <w:rPr>
          <w:rFonts w:cstheme="minorHAnsi"/>
        </w:rPr>
        <w:t xml:space="preserve"> 53.5 (Feb. 2010): 376-385.</w:t>
      </w:r>
    </w:p>
    <w:p w:rsidR="006A014C" w:rsidRPr="007F5D44" w:rsidRDefault="006A014C" w:rsidP="004064CB">
      <w:pPr>
        <w:ind w:left="360" w:hanging="360"/>
        <w:contextualSpacing/>
        <w:rPr>
          <w:rFonts w:cstheme="minorHAnsi"/>
        </w:rPr>
      </w:pPr>
      <w:r w:rsidRPr="007F5D44">
        <w:rPr>
          <w:rFonts w:cstheme="minorHAnsi"/>
          <w:b/>
        </w:rPr>
        <w:t>Ken Hjortshoj.</w:t>
      </w:r>
      <w:r w:rsidRPr="007F5D44">
        <w:rPr>
          <w:rFonts w:cstheme="minorHAnsi"/>
        </w:rPr>
        <w:t xml:space="preserve"> </w:t>
      </w:r>
      <w:r w:rsidRPr="007F5D44">
        <w:rPr>
          <w:rFonts w:cstheme="minorHAnsi"/>
          <w:i/>
          <w:iCs/>
        </w:rPr>
        <w:t xml:space="preserve">The </w:t>
      </w:r>
      <w:r w:rsidR="007F5D44">
        <w:rPr>
          <w:rFonts w:cstheme="minorHAnsi"/>
          <w:i/>
          <w:iCs/>
        </w:rPr>
        <w:t>T</w:t>
      </w:r>
      <w:r w:rsidRPr="007F5D44">
        <w:rPr>
          <w:rFonts w:cstheme="minorHAnsi"/>
          <w:i/>
          <w:iCs/>
        </w:rPr>
        <w:t xml:space="preserve">ransition to </w:t>
      </w:r>
      <w:r w:rsidR="007F5D44">
        <w:rPr>
          <w:rFonts w:cstheme="minorHAnsi"/>
          <w:i/>
          <w:iCs/>
        </w:rPr>
        <w:t>C</w:t>
      </w:r>
      <w:r w:rsidRPr="007F5D44">
        <w:rPr>
          <w:rFonts w:cstheme="minorHAnsi"/>
          <w:i/>
          <w:iCs/>
        </w:rPr>
        <w:t xml:space="preserve">ollege </w:t>
      </w:r>
      <w:r w:rsidR="007F5D44">
        <w:rPr>
          <w:rFonts w:cstheme="minorHAnsi"/>
          <w:i/>
          <w:iCs/>
        </w:rPr>
        <w:t>W</w:t>
      </w:r>
      <w:r w:rsidRPr="007F5D44">
        <w:rPr>
          <w:rFonts w:cstheme="minorHAnsi"/>
          <w:i/>
          <w:iCs/>
        </w:rPr>
        <w:t>riting</w:t>
      </w:r>
      <w:r w:rsidRPr="007F5D44">
        <w:rPr>
          <w:rFonts w:cstheme="minorHAnsi"/>
        </w:rPr>
        <w:t>. Boston, MA: Bedford/St. Martin’s, 2001.</w:t>
      </w:r>
    </w:p>
    <w:p w:rsidR="006A014C" w:rsidRPr="007F5D44" w:rsidRDefault="006A014C" w:rsidP="004064CB">
      <w:pPr>
        <w:ind w:left="360" w:hanging="360"/>
        <w:contextualSpacing/>
        <w:rPr>
          <w:rFonts w:cstheme="minorHAnsi"/>
          <w:b/>
        </w:rPr>
      </w:pPr>
      <w:r w:rsidRPr="007F5D44">
        <w:rPr>
          <w:rFonts w:cstheme="minorHAnsi"/>
          <w:b/>
        </w:rPr>
        <w:t>David Perkins &amp; Gavriel Salomon.</w:t>
      </w:r>
      <w:r w:rsidRPr="007F5D44">
        <w:rPr>
          <w:rFonts w:cstheme="minorHAnsi"/>
        </w:rPr>
        <w:t xml:space="preserve"> </w:t>
      </w:r>
      <w:r w:rsidRPr="007F5D44">
        <w:rPr>
          <w:rFonts w:cstheme="minorHAnsi"/>
          <w:i/>
          <w:iCs/>
        </w:rPr>
        <w:t>The science and art of transfer</w:t>
      </w:r>
      <w:r w:rsidRPr="007F5D44">
        <w:rPr>
          <w:rFonts w:cstheme="minorHAnsi"/>
        </w:rPr>
        <w:t>. (1990) http://learnweb.harvard.edu/alps/thinking/docs/trancost.htm</w:t>
      </w:r>
    </w:p>
    <w:p w:rsidR="00181187" w:rsidRPr="007F5D44" w:rsidRDefault="00181187" w:rsidP="004064CB">
      <w:pPr>
        <w:ind w:left="360" w:hanging="360"/>
        <w:contextualSpacing/>
        <w:rPr>
          <w:rFonts w:cstheme="minorHAnsi"/>
        </w:rPr>
      </w:pPr>
      <w:r w:rsidRPr="007F5D44">
        <w:rPr>
          <w:rFonts w:cstheme="minorHAnsi"/>
          <w:b/>
        </w:rPr>
        <w:t xml:space="preserve">David Vincent. </w:t>
      </w:r>
      <w:r w:rsidRPr="007F5D44">
        <w:rPr>
          <w:rFonts w:cstheme="minorHAnsi"/>
        </w:rPr>
        <w:t xml:space="preserve">“Literacy Literacy.” </w:t>
      </w:r>
      <w:r w:rsidRPr="007F5D44">
        <w:rPr>
          <w:rFonts w:cstheme="minorHAnsi"/>
          <w:i/>
        </w:rPr>
        <w:t>Interchange</w:t>
      </w:r>
      <w:r w:rsidRPr="007F5D44">
        <w:rPr>
          <w:rFonts w:cstheme="minorHAnsi"/>
        </w:rPr>
        <w:t xml:space="preserve"> 34:2/3 (2003): 341-357.</w:t>
      </w:r>
    </w:p>
    <w:p w:rsidR="00CB5F8D" w:rsidRPr="007F5D44" w:rsidRDefault="004064CB" w:rsidP="004064CB">
      <w:pPr>
        <w:ind w:left="360" w:hanging="360"/>
        <w:contextualSpacing/>
        <w:rPr>
          <w:rFonts w:cstheme="minorHAnsi"/>
        </w:rPr>
      </w:pPr>
      <w:r w:rsidRPr="007F5D44">
        <w:rPr>
          <w:rFonts w:cstheme="minorHAnsi"/>
          <w:b/>
        </w:rPr>
        <w:t xml:space="preserve">Elizabeth </w:t>
      </w:r>
      <w:r w:rsidR="00CB5F8D" w:rsidRPr="007F5D44">
        <w:rPr>
          <w:rFonts w:cstheme="minorHAnsi"/>
          <w:b/>
        </w:rPr>
        <w:t>Wardle</w:t>
      </w:r>
      <w:r w:rsidRPr="007F5D44">
        <w:rPr>
          <w:rFonts w:cstheme="minorHAnsi"/>
          <w:b/>
        </w:rPr>
        <w:t xml:space="preserve">. </w:t>
      </w:r>
      <w:r w:rsidRPr="007F5D44">
        <w:rPr>
          <w:rFonts w:cstheme="minorHAnsi"/>
        </w:rPr>
        <w:t xml:space="preserve">“‘Mutt Genres’ and the Goal of FYC: Can We Help Students Write the Genres of the University?” </w:t>
      </w:r>
      <w:r w:rsidRPr="007F5D44">
        <w:rPr>
          <w:rFonts w:cstheme="minorHAnsi"/>
          <w:i/>
        </w:rPr>
        <w:t>College Composition and Communication</w:t>
      </w:r>
      <w:r w:rsidRPr="007F5D44">
        <w:rPr>
          <w:rFonts w:cstheme="minorHAnsi"/>
        </w:rPr>
        <w:t xml:space="preserve"> 60.4 (June 2009): 75-789.</w:t>
      </w:r>
    </w:p>
    <w:p w:rsidR="006A014C" w:rsidRPr="007F5D44" w:rsidRDefault="006A014C" w:rsidP="004064CB">
      <w:pPr>
        <w:ind w:left="360" w:hanging="360"/>
        <w:contextualSpacing/>
        <w:rPr>
          <w:rFonts w:cstheme="minorHAnsi"/>
        </w:rPr>
      </w:pPr>
      <w:r w:rsidRPr="007F5D44">
        <w:rPr>
          <w:rFonts w:cstheme="minorHAnsi"/>
          <w:b/>
        </w:rPr>
        <w:t>Jennifer Wells</w:t>
      </w:r>
      <w:r w:rsidR="004064CB" w:rsidRPr="007F5D44">
        <w:rPr>
          <w:rFonts w:cstheme="minorHAnsi"/>
          <w:b/>
        </w:rPr>
        <w:t>.</w:t>
      </w:r>
      <w:r w:rsidRPr="007F5D44">
        <w:rPr>
          <w:rFonts w:cstheme="minorHAnsi"/>
          <w:b/>
        </w:rPr>
        <w:t xml:space="preserve"> </w:t>
      </w:r>
      <w:r w:rsidRPr="007F5D44">
        <w:rPr>
          <w:rFonts w:cstheme="minorHAnsi"/>
          <w:i/>
        </w:rPr>
        <w:t>Millennials Strike Back: Students’ Reports Of Knowledge Transfer from High School to College</w:t>
      </w:r>
      <w:r w:rsidRPr="007F5D44">
        <w:rPr>
          <w:rFonts w:cstheme="minorHAnsi"/>
        </w:rPr>
        <w:t>. Dissertation.  Indiana University of Pennsylvania, 2011.</w:t>
      </w:r>
    </w:p>
    <w:p w:rsidR="00994578" w:rsidRPr="007F5D44" w:rsidRDefault="00994578" w:rsidP="00994578">
      <w:pPr>
        <w:ind w:left="360" w:hanging="360"/>
        <w:contextualSpacing/>
        <w:rPr>
          <w:rFonts w:cstheme="minorHAnsi"/>
          <w:b/>
        </w:rPr>
      </w:pPr>
      <w:r w:rsidRPr="007F5D44">
        <w:rPr>
          <w:rFonts w:cstheme="minorHAnsi"/>
          <w:b/>
        </w:rPr>
        <w:t xml:space="preserve">Jennifer Wells. </w:t>
      </w:r>
      <w:r w:rsidRPr="007F5D44">
        <w:rPr>
          <w:rFonts w:cstheme="minorHAnsi"/>
        </w:rPr>
        <w:t xml:space="preserve">“They Can Get There from Here: Teaching for Transfer through a Writing about Writing Course.” </w:t>
      </w:r>
      <w:r w:rsidRPr="007F5D44">
        <w:rPr>
          <w:rFonts w:cstheme="minorHAnsi"/>
          <w:i/>
        </w:rPr>
        <w:t xml:space="preserve">English Journal </w:t>
      </w:r>
      <w:r w:rsidRPr="007F5D44">
        <w:rPr>
          <w:rFonts w:cstheme="minorHAnsi"/>
        </w:rPr>
        <w:t>101.2 (2011): 57-63.</w:t>
      </w:r>
    </w:p>
    <w:p w:rsidR="00181187" w:rsidRPr="007F5D44" w:rsidRDefault="00181187" w:rsidP="004064CB">
      <w:pPr>
        <w:ind w:left="360" w:hanging="360"/>
        <w:contextualSpacing/>
        <w:rPr>
          <w:rFonts w:cstheme="minorHAnsi"/>
        </w:rPr>
      </w:pPr>
      <w:r w:rsidRPr="007F5D44">
        <w:rPr>
          <w:rFonts w:cstheme="minorHAnsi"/>
          <w:b/>
        </w:rPr>
        <w:t xml:space="preserve">WPA/NCTE/NWP. </w:t>
      </w:r>
      <w:r w:rsidRPr="007F5D44">
        <w:rPr>
          <w:rFonts w:cstheme="minorHAnsi"/>
        </w:rPr>
        <w:t xml:space="preserve">Framework for Success in Postsecondary Writing. January 2011. </w:t>
      </w:r>
      <w:hyperlink r:id="rId11" w:history="1">
        <w:r w:rsidRPr="007F5D44">
          <w:rPr>
            <w:rStyle w:val="Hyperlink"/>
            <w:rFonts w:cstheme="minorHAnsi"/>
          </w:rPr>
          <w:t>http://wpacouncil.org/framework</w:t>
        </w:r>
      </w:hyperlink>
      <w:r w:rsidRPr="007F5D44">
        <w:rPr>
          <w:rFonts w:cstheme="minorHAnsi"/>
        </w:rPr>
        <w:t xml:space="preserve"> </w:t>
      </w:r>
    </w:p>
    <w:p w:rsidR="007F5D44" w:rsidRDefault="004064CB" w:rsidP="004064CB">
      <w:pPr>
        <w:ind w:left="360" w:hanging="360"/>
        <w:contextualSpacing/>
        <w:rPr>
          <w:rFonts w:cstheme="minorHAnsi"/>
        </w:rPr>
      </w:pPr>
      <w:r w:rsidRPr="007F5D44">
        <w:rPr>
          <w:rFonts w:cstheme="minorHAnsi"/>
          <w:b/>
        </w:rPr>
        <w:t>Wyoming P-16 Education Council/Wyoming School-University Partnership. “</w:t>
      </w:r>
      <w:r w:rsidRPr="007F5D44">
        <w:rPr>
          <w:rFonts w:cstheme="minorHAnsi"/>
        </w:rPr>
        <w:t xml:space="preserve">Features of Secondary School and Postsecondary Entry-Level Writing Courses.” 2009. </w:t>
      </w:r>
      <w:hyperlink r:id="rId12" w:history="1">
        <w:r w:rsidRPr="007F5D44">
          <w:rPr>
            <w:rStyle w:val="Hyperlink"/>
            <w:rFonts w:cstheme="minorHAnsi"/>
          </w:rPr>
          <w:t>http://www.uwyo.edu/wsup/_files/docs/p-16charts/coursecomp_writing_highres.pdf</w:t>
        </w:r>
      </w:hyperlink>
      <w:r w:rsidRPr="007F5D44">
        <w:rPr>
          <w:rFonts w:cstheme="minorHAnsi"/>
        </w:rPr>
        <w:t xml:space="preserve">. </w:t>
      </w:r>
    </w:p>
    <w:p w:rsidR="00870AB9" w:rsidRDefault="007F5D44">
      <w:pPr>
        <w:rPr>
          <w:rFonts w:cstheme="minorHAnsi"/>
          <w:b/>
          <w:sz w:val="28"/>
          <w:szCs w:val="28"/>
        </w:rPr>
      </w:pPr>
      <w:r>
        <w:rPr>
          <w:rFonts w:cstheme="minorHAnsi"/>
        </w:rPr>
        <w:br w:type="page"/>
      </w:r>
    </w:p>
    <w:p w:rsidR="004064CB" w:rsidRPr="007F5D44" w:rsidRDefault="007F5D44" w:rsidP="004064CB">
      <w:pPr>
        <w:ind w:left="360" w:hanging="360"/>
        <w:contextualSpacing/>
        <w:rPr>
          <w:rFonts w:cstheme="minorHAnsi"/>
          <w:b/>
          <w:sz w:val="28"/>
          <w:szCs w:val="28"/>
        </w:rPr>
      </w:pPr>
      <w:r w:rsidRPr="007F5D44">
        <w:rPr>
          <w:rFonts w:cstheme="minorHAnsi"/>
          <w:b/>
          <w:sz w:val="28"/>
          <w:szCs w:val="28"/>
        </w:rPr>
        <w:lastRenderedPageBreak/>
        <w:t>Part IV.  Collecting Ideas about Research-Related Literacy</w:t>
      </w:r>
    </w:p>
    <w:p w:rsidR="00C57814" w:rsidRDefault="0093088F" w:rsidP="00870AB9">
      <w:pPr>
        <w:spacing w:after="0"/>
        <w:contextualSpacing/>
        <w:rPr>
          <w:rFonts w:cstheme="minorHAnsi"/>
        </w:rPr>
      </w:pPr>
      <w:r>
        <w:rPr>
          <w:rFonts w:cstheme="minorHAnsi"/>
        </w:rPr>
        <w:t xml:space="preserve">We’re hoping to collect </w:t>
      </w:r>
      <w:r w:rsidR="00870AB9">
        <w:rPr>
          <w:rFonts w:cstheme="minorHAnsi"/>
        </w:rPr>
        <w:t xml:space="preserve">information about </w:t>
      </w:r>
      <w:r>
        <w:rPr>
          <w:rFonts w:cstheme="minorHAnsi"/>
        </w:rPr>
        <w:t>educators</w:t>
      </w:r>
      <w:r w:rsidR="00870AB9">
        <w:rPr>
          <w:rFonts w:cstheme="minorHAnsi"/>
        </w:rPr>
        <w:t>’</w:t>
      </w:r>
      <w:r>
        <w:rPr>
          <w:rFonts w:cstheme="minorHAnsi"/>
        </w:rPr>
        <w:t xml:space="preserve"> needs and interests regarding research-related literacy</w:t>
      </w:r>
      <w:r w:rsidR="00870AB9">
        <w:rPr>
          <w:rFonts w:cstheme="minorHAnsi"/>
        </w:rPr>
        <w:t xml:space="preserve"> (not necessarily related to “college prep” research)</w:t>
      </w:r>
      <w:r>
        <w:rPr>
          <w:rFonts w:cstheme="minorHAnsi"/>
        </w:rPr>
        <w:t>.  We appreciate your willingness to answer the following questions and to share your ideas.</w:t>
      </w:r>
    </w:p>
    <w:p w:rsidR="0093088F" w:rsidRDefault="0093088F" w:rsidP="00870AB9">
      <w:pPr>
        <w:spacing w:after="0"/>
        <w:contextualSpacing/>
        <w:rPr>
          <w:rFonts w:cstheme="minorHAnsi"/>
        </w:rPr>
      </w:pPr>
    </w:p>
    <w:p w:rsidR="007D22BD" w:rsidRPr="007D22BD" w:rsidRDefault="007D22BD" w:rsidP="00870AB9">
      <w:pPr>
        <w:pStyle w:val="ListParagraph"/>
        <w:numPr>
          <w:ilvl w:val="0"/>
          <w:numId w:val="25"/>
        </w:numPr>
        <w:spacing w:after="0"/>
        <w:ind w:left="360"/>
        <w:rPr>
          <w:rFonts w:cstheme="minorHAnsi"/>
        </w:rPr>
      </w:pPr>
      <w:r w:rsidRPr="007D22BD">
        <w:rPr>
          <w:rFonts w:cstheme="minorHAnsi"/>
        </w:rPr>
        <w:t>What level do you teach?   K-6     7-9     10-12     college-level     other: _____________________</w:t>
      </w:r>
    </w:p>
    <w:p w:rsidR="007D22BD" w:rsidRDefault="007D22BD" w:rsidP="00870AB9">
      <w:pPr>
        <w:spacing w:after="0"/>
        <w:contextualSpacing/>
        <w:rPr>
          <w:rFonts w:cstheme="minorHAnsi"/>
        </w:rPr>
      </w:pPr>
    </w:p>
    <w:p w:rsidR="0093088F" w:rsidRPr="007D22BD" w:rsidRDefault="0093088F" w:rsidP="00870AB9">
      <w:pPr>
        <w:pStyle w:val="ListParagraph"/>
        <w:numPr>
          <w:ilvl w:val="0"/>
          <w:numId w:val="25"/>
        </w:numPr>
        <w:spacing w:after="0"/>
        <w:ind w:left="360"/>
        <w:rPr>
          <w:rFonts w:cstheme="minorHAnsi"/>
        </w:rPr>
      </w:pPr>
      <w:r w:rsidRPr="007D22BD">
        <w:rPr>
          <w:rFonts w:cstheme="minorHAnsi"/>
        </w:rPr>
        <w:t>What are your major objectives when you assign research?</w:t>
      </w:r>
    </w:p>
    <w:p w:rsidR="0093088F" w:rsidRDefault="0093088F" w:rsidP="00870AB9">
      <w:pPr>
        <w:spacing w:after="0"/>
        <w:contextualSpacing/>
        <w:rPr>
          <w:rFonts w:cstheme="minorHAnsi"/>
        </w:rPr>
      </w:pPr>
    </w:p>
    <w:p w:rsidR="007D22BD" w:rsidRDefault="007D22BD" w:rsidP="00870AB9">
      <w:pPr>
        <w:spacing w:after="0"/>
        <w:contextualSpacing/>
        <w:rPr>
          <w:rFonts w:cstheme="minorHAnsi"/>
        </w:rPr>
      </w:pPr>
    </w:p>
    <w:p w:rsidR="0093088F" w:rsidRDefault="0093088F" w:rsidP="00870AB9">
      <w:pPr>
        <w:spacing w:after="0"/>
        <w:contextualSpacing/>
        <w:rPr>
          <w:rFonts w:cstheme="minorHAnsi"/>
        </w:rPr>
      </w:pPr>
    </w:p>
    <w:p w:rsidR="0093088F" w:rsidRDefault="0093088F" w:rsidP="00870AB9">
      <w:pPr>
        <w:spacing w:after="0"/>
        <w:contextualSpacing/>
        <w:rPr>
          <w:rFonts w:cstheme="minorHAnsi"/>
        </w:rPr>
      </w:pPr>
    </w:p>
    <w:p w:rsidR="0093088F" w:rsidRPr="007D22BD" w:rsidRDefault="0093088F" w:rsidP="00870AB9">
      <w:pPr>
        <w:pStyle w:val="ListParagraph"/>
        <w:numPr>
          <w:ilvl w:val="0"/>
          <w:numId w:val="25"/>
        </w:numPr>
        <w:spacing w:after="0"/>
        <w:ind w:left="360"/>
        <w:rPr>
          <w:rFonts w:cstheme="minorHAnsi"/>
        </w:rPr>
      </w:pPr>
      <w:r w:rsidRPr="007D22BD">
        <w:rPr>
          <w:rFonts w:cstheme="minorHAnsi"/>
        </w:rPr>
        <w:t>What challenges do you face when you assign research projects?</w:t>
      </w:r>
    </w:p>
    <w:p w:rsidR="0093088F" w:rsidRDefault="0093088F" w:rsidP="00870AB9">
      <w:pPr>
        <w:spacing w:after="0"/>
        <w:contextualSpacing/>
        <w:rPr>
          <w:rFonts w:cstheme="minorHAnsi"/>
        </w:rPr>
      </w:pPr>
    </w:p>
    <w:p w:rsidR="0093088F" w:rsidRDefault="0093088F" w:rsidP="00870AB9">
      <w:pPr>
        <w:spacing w:after="0"/>
        <w:contextualSpacing/>
        <w:rPr>
          <w:rFonts w:cstheme="minorHAnsi"/>
        </w:rPr>
      </w:pPr>
    </w:p>
    <w:p w:rsidR="007D22BD" w:rsidRDefault="007D22BD" w:rsidP="00870AB9">
      <w:pPr>
        <w:spacing w:after="0"/>
        <w:contextualSpacing/>
        <w:rPr>
          <w:rFonts w:cstheme="minorHAnsi"/>
        </w:rPr>
      </w:pPr>
    </w:p>
    <w:p w:rsidR="007D22BD" w:rsidRDefault="007D22BD" w:rsidP="00870AB9">
      <w:pPr>
        <w:spacing w:after="0"/>
        <w:contextualSpacing/>
        <w:rPr>
          <w:rFonts w:cstheme="minorHAnsi"/>
        </w:rPr>
      </w:pPr>
    </w:p>
    <w:p w:rsidR="007D22BD" w:rsidRDefault="007D22BD" w:rsidP="00870AB9">
      <w:pPr>
        <w:spacing w:after="0"/>
        <w:contextualSpacing/>
        <w:rPr>
          <w:rFonts w:cstheme="minorHAnsi"/>
        </w:rPr>
      </w:pPr>
    </w:p>
    <w:p w:rsidR="007D22BD" w:rsidRDefault="007D22BD" w:rsidP="00870AB9">
      <w:pPr>
        <w:pStyle w:val="ListParagraph"/>
        <w:numPr>
          <w:ilvl w:val="0"/>
          <w:numId w:val="25"/>
        </w:numPr>
        <w:spacing w:after="0"/>
        <w:ind w:left="360"/>
        <w:rPr>
          <w:rFonts w:cstheme="minorHAnsi"/>
        </w:rPr>
      </w:pPr>
      <w:r w:rsidRPr="007D22BD">
        <w:rPr>
          <w:rFonts w:cstheme="minorHAnsi"/>
        </w:rPr>
        <w:t xml:space="preserve">What are the major features of one of a current or representative research project you assign?  (purpose, number of sources, </w:t>
      </w:r>
      <w:r w:rsidR="00870AB9">
        <w:rPr>
          <w:rFonts w:cstheme="minorHAnsi"/>
        </w:rPr>
        <w:t xml:space="preserve">interdisciplinary components, </w:t>
      </w:r>
      <w:r w:rsidRPr="007D22BD">
        <w:rPr>
          <w:rFonts w:cstheme="minorHAnsi"/>
        </w:rPr>
        <w:t xml:space="preserve">research stages/process, </w:t>
      </w:r>
      <w:r w:rsidR="00870AB9">
        <w:rPr>
          <w:rFonts w:cstheme="minorHAnsi"/>
        </w:rPr>
        <w:t>type of product(s), citation expectations, etc.)</w:t>
      </w:r>
    </w:p>
    <w:p w:rsidR="00870AB9" w:rsidRDefault="00870AB9" w:rsidP="00870AB9">
      <w:pPr>
        <w:spacing w:after="0"/>
        <w:rPr>
          <w:rFonts w:cstheme="minorHAnsi"/>
        </w:rPr>
      </w:pPr>
    </w:p>
    <w:p w:rsidR="00870AB9" w:rsidRDefault="00870AB9" w:rsidP="00870AB9">
      <w:pPr>
        <w:spacing w:after="0"/>
        <w:rPr>
          <w:rFonts w:cstheme="minorHAnsi"/>
        </w:rPr>
      </w:pPr>
    </w:p>
    <w:p w:rsidR="00870AB9" w:rsidRDefault="00870AB9" w:rsidP="00870AB9">
      <w:pPr>
        <w:spacing w:after="0"/>
        <w:rPr>
          <w:rFonts w:cstheme="minorHAnsi"/>
        </w:rPr>
      </w:pPr>
    </w:p>
    <w:p w:rsidR="00870AB9" w:rsidRDefault="00870AB9" w:rsidP="00870AB9">
      <w:pPr>
        <w:spacing w:after="0"/>
        <w:rPr>
          <w:rFonts w:cstheme="minorHAnsi"/>
        </w:rPr>
      </w:pPr>
    </w:p>
    <w:p w:rsidR="00870AB9" w:rsidRDefault="00870AB9" w:rsidP="00870AB9">
      <w:pPr>
        <w:spacing w:after="0"/>
        <w:rPr>
          <w:rFonts w:cstheme="minorHAnsi"/>
        </w:rPr>
      </w:pPr>
    </w:p>
    <w:p w:rsidR="00870AB9" w:rsidRDefault="00870AB9" w:rsidP="00870AB9">
      <w:pPr>
        <w:spacing w:after="0"/>
        <w:rPr>
          <w:rFonts w:cstheme="minorHAnsi"/>
        </w:rPr>
      </w:pPr>
    </w:p>
    <w:p w:rsidR="00870AB9" w:rsidRPr="00870AB9" w:rsidRDefault="00870AB9" w:rsidP="00870AB9">
      <w:pPr>
        <w:pStyle w:val="ListParagraph"/>
        <w:numPr>
          <w:ilvl w:val="0"/>
          <w:numId w:val="25"/>
        </w:numPr>
        <w:spacing w:after="0"/>
        <w:ind w:left="360"/>
        <w:rPr>
          <w:rFonts w:cstheme="minorHAnsi"/>
        </w:rPr>
      </w:pPr>
      <w:r w:rsidRPr="00870AB9">
        <w:rPr>
          <w:rFonts w:cstheme="minorHAnsi"/>
        </w:rPr>
        <w:t>What types of session topics would help you improve/revise your research assignments?</w:t>
      </w:r>
    </w:p>
    <w:p w:rsidR="00870AB9" w:rsidRDefault="00870AB9" w:rsidP="00870AB9">
      <w:pPr>
        <w:spacing w:after="0"/>
        <w:rPr>
          <w:rFonts w:cstheme="minorHAnsi"/>
        </w:rPr>
      </w:pPr>
    </w:p>
    <w:p w:rsidR="00870AB9" w:rsidRPr="00870AB9" w:rsidRDefault="00870AB9" w:rsidP="00870AB9">
      <w:pPr>
        <w:spacing w:after="0"/>
        <w:rPr>
          <w:rFonts w:cstheme="minorHAnsi"/>
        </w:rPr>
      </w:pPr>
    </w:p>
    <w:p w:rsidR="007D22BD" w:rsidRDefault="007D22BD" w:rsidP="00870AB9">
      <w:pPr>
        <w:pStyle w:val="ListParagraph"/>
        <w:numPr>
          <w:ilvl w:val="0"/>
          <w:numId w:val="25"/>
        </w:numPr>
        <w:spacing w:after="0"/>
        <w:ind w:left="360"/>
        <w:rPr>
          <w:rFonts w:cstheme="minorHAnsi"/>
        </w:rPr>
      </w:pPr>
      <w:r w:rsidRPr="00870AB9">
        <w:rPr>
          <w:rFonts w:cstheme="minorHAnsi"/>
        </w:rPr>
        <w:t xml:space="preserve">Are you interested in receiving information/reminders about Teaching Writing in </w:t>
      </w:r>
      <w:r w:rsidR="00870AB9" w:rsidRPr="00870AB9">
        <w:rPr>
          <w:rFonts w:cstheme="minorHAnsi"/>
        </w:rPr>
        <w:t>Wyoming</w:t>
      </w:r>
      <w:r w:rsidRPr="00870AB9">
        <w:rPr>
          <w:rFonts w:cstheme="minorHAnsi"/>
        </w:rPr>
        <w:t xml:space="preserve"> 2013 (tentatively focused on research literacies in grades 7-12+)?   YES    NO</w:t>
      </w:r>
    </w:p>
    <w:p w:rsidR="00870AB9" w:rsidRPr="00870AB9" w:rsidRDefault="00870AB9" w:rsidP="00870AB9">
      <w:pPr>
        <w:spacing w:after="0"/>
        <w:rPr>
          <w:rFonts w:cstheme="minorHAnsi"/>
        </w:rPr>
      </w:pPr>
    </w:p>
    <w:p w:rsidR="007D22BD" w:rsidRPr="007D22BD" w:rsidRDefault="007D22BD" w:rsidP="00870AB9">
      <w:pPr>
        <w:pStyle w:val="ListParagraph"/>
        <w:numPr>
          <w:ilvl w:val="0"/>
          <w:numId w:val="25"/>
        </w:numPr>
        <w:spacing w:after="0"/>
        <w:ind w:left="360"/>
        <w:rPr>
          <w:rFonts w:cstheme="minorHAnsi"/>
        </w:rPr>
      </w:pPr>
      <w:r w:rsidRPr="007D22BD">
        <w:rPr>
          <w:rFonts w:cstheme="minorHAnsi"/>
        </w:rPr>
        <w:t>Are you interested in being contacted for follow-up questions related to your/your school’s approaches to effective research assignments?    YES    NO</w:t>
      </w:r>
    </w:p>
    <w:p w:rsidR="007D22BD" w:rsidRDefault="007D22BD" w:rsidP="00870AB9">
      <w:pPr>
        <w:spacing w:after="0"/>
        <w:contextualSpacing/>
        <w:rPr>
          <w:rFonts w:cstheme="minorHAnsi"/>
        </w:rPr>
      </w:pPr>
    </w:p>
    <w:p w:rsidR="007D22BD" w:rsidRDefault="00F37A50" w:rsidP="00870AB9">
      <w:pPr>
        <w:spacing w:after="0"/>
        <w:contextualSpacing/>
        <w:rPr>
          <w:rFonts w:cstheme="minorHAnsi"/>
        </w:rPr>
      </w:pPr>
      <w:r>
        <w:rPr>
          <w:rFonts w:cstheme="minorHAnsi"/>
        </w:rPr>
        <w:t>P</w:t>
      </w:r>
      <w:r w:rsidR="007D22BD">
        <w:rPr>
          <w:rFonts w:cstheme="minorHAnsi"/>
        </w:rPr>
        <w:t xml:space="preserve">lease provide </w:t>
      </w:r>
      <w:r>
        <w:rPr>
          <w:rFonts w:cstheme="minorHAnsi"/>
        </w:rPr>
        <w:t xml:space="preserve">your </w:t>
      </w:r>
      <w:r w:rsidR="007D22BD">
        <w:rPr>
          <w:rFonts w:cstheme="minorHAnsi"/>
        </w:rPr>
        <w:t>contact information below</w:t>
      </w:r>
      <w:r>
        <w:rPr>
          <w:rFonts w:cstheme="minorHAnsi"/>
        </w:rPr>
        <w:t>.</w:t>
      </w:r>
    </w:p>
    <w:p w:rsidR="007D22BD" w:rsidRDefault="007D22BD" w:rsidP="00870AB9">
      <w:pPr>
        <w:spacing w:after="0"/>
        <w:contextualSpacing/>
        <w:rPr>
          <w:rFonts w:cstheme="minorHAnsi"/>
        </w:rPr>
      </w:pPr>
    </w:p>
    <w:p w:rsidR="007D22BD" w:rsidRDefault="007D22BD" w:rsidP="00870AB9">
      <w:pPr>
        <w:spacing w:after="0"/>
        <w:contextualSpacing/>
        <w:rPr>
          <w:rFonts w:cstheme="minorHAnsi"/>
        </w:rPr>
      </w:pPr>
      <w:r>
        <w:rPr>
          <w:rFonts w:cstheme="minorHAnsi"/>
        </w:rPr>
        <w:t>Name:  ________________________________________________________</w:t>
      </w:r>
    </w:p>
    <w:p w:rsidR="007D22BD" w:rsidRDefault="00870AB9" w:rsidP="00870AB9">
      <w:pPr>
        <w:spacing w:after="0"/>
        <w:contextualSpacing/>
        <w:rPr>
          <w:rFonts w:cstheme="minorHAnsi"/>
        </w:rPr>
      </w:pPr>
      <w:r>
        <w:rPr>
          <w:rFonts w:cstheme="minorHAnsi"/>
        </w:rPr>
        <w:t>School</w:t>
      </w:r>
      <w:r w:rsidR="007D22BD">
        <w:rPr>
          <w:rFonts w:cstheme="minorHAnsi"/>
        </w:rPr>
        <w:t>/Subject:  ____________________________________________</w:t>
      </w:r>
      <w:r>
        <w:rPr>
          <w:rFonts w:cstheme="minorHAnsi"/>
        </w:rPr>
        <w:t>____</w:t>
      </w:r>
    </w:p>
    <w:p w:rsidR="0093088F" w:rsidRPr="007F5D44" w:rsidRDefault="007D22BD" w:rsidP="00870AB9">
      <w:pPr>
        <w:spacing w:after="0"/>
        <w:contextualSpacing/>
        <w:rPr>
          <w:rFonts w:cstheme="minorHAnsi"/>
          <w:b/>
        </w:rPr>
      </w:pPr>
      <w:r>
        <w:rPr>
          <w:rFonts w:cstheme="minorHAnsi"/>
        </w:rPr>
        <w:t>Email address:  _________________________________________________</w:t>
      </w:r>
    </w:p>
    <w:sectPr w:rsidR="0093088F" w:rsidRPr="007F5D44" w:rsidSect="000B488C">
      <w:footerReference w:type="default" r:id="rId13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ADE" w:rsidRDefault="00D91ADE" w:rsidP="00B8251C">
      <w:pPr>
        <w:spacing w:after="0" w:line="240" w:lineRule="auto"/>
      </w:pPr>
      <w:r>
        <w:separator/>
      </w:r>
    </w:p>
  </w:endnote>
  <w:endnote w:type="continuationSeparator" w:id="0">
    <w:p w:rsidR="00D91ADE" w:rsidRDefault="00D91ADE" w:rsidP="00B82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5842"/>
      <w:docPartObj>
        <w:docPartGallery w:val="Page Numbers (Bottom of Page)"/>
        <w:docPartUnique/>
      </w:docPartObj>
    </w:sdtPr>
    <w:sdtEndPr/>
    <w:sdtContent>
      <w:p w:rsidR="00CB5F8D" w:rsidRDefault="00E91E7A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0" b="0"/>
                  <wp:docPr id="574" name="Gro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575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5F8D" w:rsidRDefault="0082243B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 w:rsidR="00CB5F8D"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E91E7A" w:rsidRPr="00E91E7A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76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577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8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9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A3ZWqYBwQAAMYRAAAOAAAA&#10;AAAAAAAAAAAAAC4CAABkcnMvZTJvRG9jLnhtbFBLAQItABQABgAIAAAAIQCwlh0X3AAAAAMBAAAP&#10;AAAAAAAAAAAAAAAAAGEGAABkcnMvZG93bnJldi54bWxQSwUGAAAAAAQABADzAAAAa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MrS8MA&#10;AADcAAAADwAAAGRycy9kb3ducmV2LnhtbESPzarCMBSE9xd8h3AEN6Kpgj9Uo/iDejcuqj7AoTm2&#10;xeakNFGrT2+EC3c5zMw3zHzZmFI8qHaFZQWDfgSCOLW64EzB5bzrTUE4j6yxtEwKXuRguWj9zDHW&#10;9skJPU4+EwHCLkYFufdVLKVLczLo+rYiDt7V1gZ9kHUmdY3PADelHEbRWBosOCzkWNEmp/R2uhsF&#10;tErs+3hze5Ost5v9tWDqyoNSnXazmoHw1Pj/8F/7VysYTUbwPROOgFx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MrS8MAAADcAAAADwAAAAAAAAAAAAAAAACYAgAAZHJzL2Rv&#10;d25yZXYueG1sUEsFBgAAAAAEAAQA9QAAAIgDAAAAAA==&#10;" filled="f" stroked="f">
                    <v:textbox inset="0,0,0,0">
                      <w:txbxContent>
                        <w:p w:rsidR="00CB5F8D" w:rsidRDefault="0082243B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 w:rsidR="00CB5F8D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E91E7A" w:rsidRPr="00E91E7A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AAxsMA&#10;AADcAAAADwAAAGRycy9kb3ducmV2LnhtbESPQWvCQBSE7wX/w/IEb3WjYFKiq6igeE1aD96e2dck&#10;NPs2ZNck/nu3UOhxmJlvmM1uNI3oqXO1ZQWLeQSCuLC65lLB1+fp/QOE88gaG8uk4EkOdtvJ2wZT&#10;bQfOqM99KQKEXYoKKu/bVEpXVGTQzW1LHLxv2xn0QXal1B0OAW4auYyiWBqsOSxU2NKxouInfxgF&#10;9dkurqdDnrlbHx/lvrkf7PWu1Gw67tcgPI3+P/zXvmgFqySB3zPhCMjt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AAxsMAAADcAAAADwAAAAAAAAAAAAAAAACYAgAAZHJzL2Rv&#10;d25yZXYueG1sUEsFBgAAAAAEAAQA9QAAAIgDAAAAAA==&#10;" fillcolor="#84a2c6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+UtL0A&#10;AADcAAAADwAAAGRycy9kb3ducmV2LnhtbERPuwrCMBTdBf8hXMFNUwUfVKOooLhadXC7Nte22NyU&#10;Jtb692YQHA/nvVy3phQN1a6wrGA0jEAQp1YXnCm4nPeDOQjnkTWWlknBhxysV93OEmNt33yiJvGZ&#10;CCHsYlSQe1/FUro0J4NuaCviwD1sbdAHWGdS1/gO4aaU4yiaSoMFh4YcK9rllD6Tl1FQHOzout8m&#10;J3drpju5Ke9be70r1e+1mwUIT63/i3/uo1YwmYW1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q+UtL0AAADcAAAADwAAAAAAAAAAAAAAAACYAgAAZHJzL2Rvd25yZXYu&#10;eG1sUEsFBgAAAAAEAAQA9QAAAIIDAAAAAA==&#10;" fillcolor="#84a2c6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MxL8QA&#10;AADcAAAADwAAAGRycy9kb3ducmV2LnhtbESPT4vCMBTE7wt+h/AEb2tawT/bNRUVlL1a9eDt2bxt&#10;yzYvpYm1fvuNIHgcZuY3zHLVm1p01LrKsoJ4HIEgzq2uuFBwOu4+FyCcR9ZYWyYFD3KwSgcfS0y0&#10;vfOBuswXIkDYJaig9L5JpHR5SQbd2DbEwfu1rUEfZFtI3eI9wE0tJ1E0kwYrDgslNrQtKf/LbkZB&#10;tbfxebfJDu7SzbZyXV839nxVajTs198gPPX+HX61f7SC6fwLnmfCEZD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jMS/EAAAA3AAAAA8AAAAAAAAAAAAAAAAAmAIAAGRycy9k&#10;b3ducmV2LnhtbFBLBQYAAAAABAAEAPUAAACJAw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:rsidR="00CB5F8D" w:rsidRDefault="00CB5F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ADE" w:rsidRDefault="00D91ADE" w:rsidP="00B8251C">
      <w:pPr>
        <w:spacing w:after="0" w:line="240" w:lineRule="auto"/>
      </w:pPr>
      <w:r>
        <w:separator/>
      </w:r>
    </w:p>
  </w:footnote>
  <w:footnote w:type="continuationSeparator" w:id="0">
    <w:p w:rsidR="00D91ADE" w:rsidRDefault="00D91ADE" w:rsidP="00B82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1E6"/>
    <w:multiLevelType w:val="hybridMultilevel"/>
    <w:tmpl w:val="0DFCE6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26BF0"/>
    <w:multiLevelType w:val="hybridMultilevel"/>
    <w:tmpl w:val="3F948E20"/>
    <w:lvl w:ilvl="0" w:tplc="95E270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D54E3"/>
    <w:multiLevelType w:val="hybridMultilevel"/>
    <w:tmpl w:val="A77CD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9559F9"/>
    <w:multiLevelType w:val="hybridMultilevel"/>
    <w:tmpl w:val="62689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B2AE8"/>
    <w:multiLevelType w:val="hybridMultilevel"/>
    <w:tmpl w:val="810652C8"/>
    <w:lvl w:ilvl="0" w:tplc="386CDE3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46C6B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E6DBA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28BDA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D8661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F8697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02F11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DE773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F4586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CA64A6B"/>
    <w:multiLevelType w:val="hybridMultilevel"/>
    <w:tmpl w:val="4274C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052DF"/>
    <w:multiLevelType w:val="multilevel"/>
    <w:tmpl w:val="06FA258C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BCC7EED"/>
    <w:multiLevelType w:val="hybridMultilevel"/>
    <w:tmpl w:val="27DC9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1B19DB"/>
    <w:multiLevelType w:val="hybridMultilevel"/>
    <w:tmpl w:val="AE80DE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3E2DB2"/>
    <w:multiLevelType w:val="hybridMultilevel"/>
    <w:tmpl w:val="886646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D836E5"/>
    <w:multiLevelType w:val="hybridMultilevel"/>
    <w:tmpl w:val="7BB8D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014261"/>
    <w:multiLevelType w:val="hybridMultilevel"/>
    <w:tmpl w:val="A3265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6A0049"/>
    <w:multiLevelType w:val="hybridMultilevel"/>
    <w:tmpl w:val="2F16E4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927207"/>
    <w:multiLevelType w:val="hybridMultilevel"/>
    <w:tmpl w:val="7EC855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3202867"/>
    <w:multiLevelType w:val="hybridMultilevel"/>
    <w:tmpl w:val="63808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B45C5F"/>
    <w:multiLevelType w:val="hybridMultilevel"/>
    <w:tmpl w:val="52003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D8A38A">
      <w:start w:val="6"/>
      <w:numFmt w:val="bullet"/>
      <w:lvlText w:val="•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EE5AA0"/>
    <w:multiLevelType w:val="hybridMultilevel"/>
    <w:tmpl w:val="F63CE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154FE2"/>
    <w:multiLevelType w:val="hybridMultilevel"/>
    <w:tmpl w:val="5A06F5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12318B"/>
    <w:multiLevelType w:val="hybridMultilevel"/>
    <w:tmpl w:val="C7F46E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20F2F0F"/>
    <w:multiLevelType w:val="hybridMultilevel"/>
    <w:tmpl w:val="3652771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8805124"/>
    <w:multiLevelType w:val="hybridMultilevel"/>
    <w:tmpl w:val="14A2ECD2"/>
    <w:lvl w:ilvl="0" w:tplc="D3062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222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3CFA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7626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8E78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8AB8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7C20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3836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ECD2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93087F"/>
    <w:multiLevelType w:val="hybridMultilevel"/>
    <w:tmpl w:val="2728A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D41A34"/>
    <w:multiLevelType w:val="hybridMultilevel"/>
    <w:tmpl w:val="0802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3C1343"/>
    <w:multiLevelType w:val="hybridMultilevel"/>
    <w:tmpl w:val="41E68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3"/>
  </w:num>
  <w:num w:numId="4">
    <w:abstractNumId w:val="12"/>
  </w:num>
  <w:num w:numId="5">
    <w:abstractNumId w:val="9"/>
  </w:num>
  <w:num w:numId="6">
    <w:abstractNumId w:val="18"/>
  </w:num>
  <w:num w:numId="7">
    <w:abstractNumId w:val="19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7"/>
  </w:num>
  <w:num w:numId="15">
    <w:abstractNumId w:val="0"/>
  </w:num>
  <w:num w:numId="16">
    <w:abstractNumId w:val="8"/>
  </w:num>
  <w:num w:numId="17">
    <w:abstractNumId w:val="1"/>
  </w:num>
  <w:num w:numId="18">
    <w:abstractNumId w:val="14"/>
  </w:num>
  <w:num w:numId="19">
    <w:abstractNumId w:val="11"/>
  </w:num>
  <w:num w:numId="20">
    <w:abstractNumId w:val="15"/>
  </w:num>
  <w:num w:numId="21">
    <w:abstractNumId w:val="6"/>
  </w:num>
  <w:num w:numId="22">
    <w:abstractNumId w:val="10"/>
  </w:num>
  <w:num w:numId="23">
    <w:abstractNumId w:val="7"/>
  </w:num>
  <w:num w:numId="24">
    <w:abstractNumId w:val="2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ED4"/>
    <w:rsid w:val="000B488C"/>
    <w:rsid w:val="00181187"/>
    <w:rsid w:val="00183034"/>
    <w:rsid w:val="001A602C"/>
    <w:rsid w:val="004064CB"/>
    <w:rsid w:val="00514F3F"/>
    <w:rsid w:val="006A014C"/>
    <w:rsid w:val="00761361"/>
    <w:rsid w:val="007D22BD"/>
    <w:rsid w:val="007F5D44"/>
    <w:rsid w:val="0082243B"/>
    <w:rsid w:val="00845D46"/>
    <w:rsid w:val="0084670F"/>
    <w:rsid w:val="00870AB9"/>
    <w:rsid w:val="008D6633"/>
    <w:rsid w:val="009075E8"/>
    <w:rsid w:val="0093088F"/>
    <w:rsid w:val="00994578"/>
    <w:rsid w:val="009F04A6"/>
    <w:rsid w:val="00A43ED4"/>
    <w:rsid w:val="00A76229"/>
    <w:rsid w:val="00B8251C"/>
    <w:rsid w:val="00BD6B01"/>
    <w:rsid w:val="00BE5065"/>
    <w:rsid w:val="00C12890"/>
    <w:rsid w:val="00C17D9D"/>
    <w:rsid w:val="00C57814"/>
    <w:rsid w:val="00C6024A"/>
    <w:rsid w:val="00C93D80"/>
    <w:rsid w:val="00CB125B"/>
    <w:rsid w:val="00CB5F8D"/>
    <w:rsid w:val="00CC0CA8"/>
    <w:rsid w:val="00CE7E5E"/>
    <w:rsid w:val="00D37C47"/>
    <w:rsid w:val="00D91ADE"/>
    <w:rsid w:val="00E91E7A"/>
    <w:rsid w:val="00ED72AB"/>
    <w:rsid w:val="00F177AB"/>
    <w:rsid w:val="00F37A50"/>
    <w:rsid w:val="00F6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034"/>
    <w:pPr>
      <w:ind w:left="720"/>
      <w:contextualSpacing/>
    </w:pPr>
  </w:style>
  <w:style w:type="character" w:styleId="Hyperlink">
    <w:name w:val="Hyperlink"/>
    <w:rsid w:val="00846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F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2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51C"/>
  </w:style>
  <w:style w:type="paragraph" w:styleId="Footer">
    <w:name w:val="footer"/>
    <w:basedOn w:val="Normal"/>
    <w:link w:val="FooterChar"/>
    <w:uiPriority w:val="99"/>
    <w:unhideWhenUsed/>
    <w:rsid w:val="00B82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5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034"/>
    <w:pPr>
      <w:ind w:left="720"/>
      <w:contextualSpacing/>
    </w:pPr>
  </w:style>
  <w:style w:type="character" w:styleId="Hyperlink">
    <w:name w:val="Hyperlink"/>
    <w:rsid w:val="00846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F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2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51C"/>
  </w:style>
  <w:style w:type="paragraph" w:styleId="Footer">
    <w:name w:val="footer"/>
    <w:basedOn w:val="Normal"/>
    <w:link w:val="FooterChar"/>
    <w:uiPriority w:val="99"/>
    <w:unhideWhenUsed/>
    <w:rsid w:val="00B82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4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5523">
          <w:marLeft w:val="15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2585">
          <w:marLeft w:val="15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9352">
          <w:marLeft w:val="15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1250">
          <w:marLeft w:val="15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85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1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2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uwyo.edu/wsup/_files/docs/p-16charts/coursecomp_writing_highr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pacouncil.org/framewor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chronicle.com/article/College-at-Risk/130893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t.org/research/policymakers/pdf/NationalCurriculumSurvey2009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2528</Words>
  <Characters>14415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Wyoming</Company>
  <LinksUpToDate>false</LinksUpToDate>
  <CharactersWithSpaces>16910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</dc:creator>
  <cp:lastModifiedBy>Elizabeth Marie Wiley</cp:lastModifiedBy>
  <cp:revision>2</cp:revision>
  <dcterms:created xsi:type="dcterms:W3CDTF">2012-09-25T16:02:00Z</dcterms:created>
  <dcterms:modified xsi:type="dcterms:W3CDTF">2012-09-25T16:02:00Z</dcterms:modified>
</cp:coreProperties>
</file>